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responding to and investigating child fatalities.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F, Chapter 264, Family Code, the differences between sudden unexpected infant death and sudden infant death syndrome, and the relevant regulations applicable to child-care facilities.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Commission on Law Enforcement shall establish the training program required by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533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533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133, Nays</w:t>
      </w:r>
      <w:r xml:space="preserve">
        <w:t> </w:t>
      </w:r>
      <w:r>
        <w:t xml:space="preserve">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