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533</w:t>
      </w:r>
    </w:p>
    <w:p w:rsidR="003F3435" w:rsidRDefault="0032493E">
      <w:pPr>
        <w:ind w:firstLine="720"/>
        <w:jc w:val="both"/>
      </w:pPr>
      <w:r>
        <w:t xml:space="preserve">(Shaheen, Plesa)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for peace officers on responding to and investigating child fatalities.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on responding to and investigating child fatalities, including the protocols for reporting and investigating child fatalities developed under Subchapter F, Chapter 264, Family Code, the differences between sudden unexpected infant death and sudden infant death syndrome, and the relevant regulations applicable to child-care facilities.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Texas Commission on Law Enforcement shall establish the training program required by Section 1701.253(q),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2024. </w:t>
      </w:r>
      <w:r>
        <w:t xml:space="preserve"> </w:t>
      </w:r>
      <w:r>
        <w:t xml:space="preserve">A person who submits an application for a peace officer license under Chapter 1701, Occupations Code,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