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88R1050 SCP-D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enforcement of commercial motor vehicle safety standards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644.101(b),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police officer of any of the following municipalities is eligible to apply for certification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50,000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with a population of 25,000 or more any part of which is located in a county with a population of 500,000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with a population of less than 25,000: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part of which is located in a county with a population of 3.3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contains or is adjacent to an international 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with a population of at least 34,000 that is located in a county that borders two or more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any part of which is located in a county bordering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less than 5,000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adjacent to a bay connected to the Gulf of Mexico;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within 25 miles of an international port;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that does not contain a highway that is part of the national system of interstate and defense highways and is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less than 8,500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county seat;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located in a county with a population between 60,000 and 66,000 adjacent to a bay connected to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more than 40,000 and less than 50,000 that is located in a county with a population of more than 285,000 and less than 300,000 that borders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between 32,000 and 50,000 that is located entirely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less than 250,000;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two counties that each have a population of more than 1.2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two highways that are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more than 3,000 and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between 150,000 and 155,000;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less than 75,000 that is located in three counties, at least one of which has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between 14,000 and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three or more numbered United States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is adjacent to a county with a population of more than 200,000;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less than 50,000 that is located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that generated $20 million or more in tax revenue collected under Chapters 201 and 202, Tax Code, from oil and gas production during the preceding state fiscal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is adjacent to two or more counties described by Paragraph (A)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within 25 miles of an international airport;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county that contains a quarry and is adjacent to a county with a population of more than two million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