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88R5551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541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barring of certain vendors from participation in certain contracts with the state or a political subdivision.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2155.077, Government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comptroller shall bar a vendor from participating in state contracts that are subject to this subtitle, including contracts for which purchasing authority is delegated to a state agency, if the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prohibited from participating in federal contracts under Section 889, John S. McCain National Defense Authorization Act for Fiscal Year 2019 (Pub. L. No.</w:t>
      </w:r>
      <w:r>
        <w:rPr>
          <w:u w:val="single"/>
        </w:rPr>
        <w:t xml:space="preserve"> </w:t>
      </w:r>
      <w:r>
        <w:rPr>
          <w:u w:val="single"/>
        </w:rPr>
        <w:t xml:space="preserve">115-232);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contracts with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designated as a risk to state security by the governor, with advice from the Homeland Security Council, under rules adopted by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271, Local Government Code, is amended by adding Section 271.909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271.909.</w:t>
      </w:r>
      <w:r>
        <w:rPr>
          <w:u w:val="single"/>
        </w:rPr>
        <w:t xml:space="preserve"> </w:t>
      </w:r>
      <w:r>
        <w:rPr>
          <w:u w:val="single"/>
        </w:rPr>
        <w:t xml:space="preserve"> </w:t>
      </w:r>
      <w:r>
        <w:rPr>
          <w:u w:val="single"/>
        </w:rPr>
        <w:t xml:space="preserve">BARRING CERTAIN VENDORS FROM PARTICIPATION IN CONTRACTS.  The governing body of a political subdivision by ordinance, order, or other measure shall bar a vendor from participating in contracts with the political subdivision if the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prohibited from participating in federal contracts under Section 889, John S. McCain National Defense Authorization Act for Fiscal Year 2019 (Pub. L. No.</w:t>
      </w:r>
      <w:r>
        <w:rPr>
          <w:u w:val="single"/>
        </w:rPr>
        <w:t xml:space="preserve"> </w:t>
      </w:r>
      <w:r>
        <w:rPr>
          <w:u w:val="single"/>
        </w:rPr>
        <w:t xml:space="preserve">115-232);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contracts with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designated as a risk to state security by the governor, with advice from the Homeland Security Council, under rules adopted by the governor.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contract for which a state agency or political subdivision first advertises or otherwise solicits offers, bids, proposals, qualifications, or other applicable expressions of interest on or after the effective date of this Act.  A contract for which a state agency or political subdivision first advertises or otherwise solicits offers, bids, proposals, qualifications, or other applicable expressions of interest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