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544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temporary teaching certificate to and requirements regarding educator certification for certain persons with experience as instructors for the Community College of the Air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21, Education Code, is amended by adding Section 21.0525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21.0525.</w:t>
      </w:r>
      <w:r>
        <w:rPr>
          <w:u w:val="single"/>
        </w:rPr>
        <w:t xml:space="preserve"> </w:t>
      </w:r>
      <w:r>
        <w:rPr>
          <w:u w:val="single"/>
        </w:rPr>
        <w:t xml:space="preserve"> </w:t>
      </w:r>
      <w:r>
        <w:rPr>
          <w:u w:val="single"/>
        </w:rPr>
        <w:t xml:space="preserve">CERTIFICATION OF CERTAIN MILITARY INSTRUCTORS; TEMPORARY TEACHING CERTIFICATE. </w:t>
      </w:r>
      <w:r>
        <w:rPr>
          <w:u w:val="single"/>
        </w:rPr>
        <w:t xml:space="preserve"> </w:t>
      </w:r>
      <w:r>
        <w:rPr>
          <w:u w:val="single"/>
        </w:rPr>
        <w:t xml:space="preserve">(a) </w:t>
      </w:r>
      <w:r>
        <w:rPr>
          <w:u w:val="single"/>
        </w:rPr>
        <w:t xml:space="preserve"> </w:t>
      </w:r>
      <w:r>
        <w:rPr>
          <w:u w:val="single"/>
        </w:rPr>
        <w:t xml:space="preserve">The board shall propose rules providing for a person who holds a bachelor's degree and has at least two semesters' experience as a full-time instructor for the Community College of the Air Force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issued a temporary teaching certificate on the person's enrollment in an educator preparation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credit for the person's education, training, and clinical or professional experience as an instructor for the Community College of the Air Force toward the requirements for completion of an educator preparation program, including requirements regarding coursework, field-based experience, or clinical experience.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teaching certificate issued under this section is valid for a term of one year from the date of issuance.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544 passed the Senate on April</w:t>
      </w:r>
      <w:r xml:space="preserve">
        <w:t> </w:t>
      </w:r>
      <w:r>
        <w:t xml:space="preserve">20,</w:t>
      </w:r>
      <w:r xml:space="preserve">
        <w:t> </w:t>
      </w:r>
      <w:r>
        <w:t xml:space="preserve">2023, by the following vote:  Yeas</w:t>
      </w:r>
      <w:r xml:space="preserve">
        <w:t> </w:t>
      </w:r>
      <w:r>
        <w:t xml:space="preserve">31, Nays</w:t>
      </w:r>
      <w:r xml:space="preserve">
        <w:t> </w:t>
      </w:r>
      <w:r>
        <w:t xml:space="preserve">0; and that the Senate concurred in House amendment on May</w:t>
      </w:r>
      <w:r xml:space="preserve">
        <w:t> </w:t>
      </w:r>
      <w:r>
        <w:t xml:space="preserve">26,</w:t>
      </w:r>
      <w:r xml:space="preserve">
        <w:t> </w:t>
      </w:r>
      <w:r>
        <w:t xml:space="preserve">2023,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544 passed the House, with amendment, on May</w:t>
      </w:r>
      <w:r xml:space="preserve">
        <w:t> </w:t>
      </w:r>
      <w:r>
        <w:t xml:space="preserve">24,</w:t>
      </w:r>
      <w:r xml:space="preserve">
        <w:t> </w:t>
      </w:r>
      <w:r>
        <w:t xml:space="preserve">2023, by the following vote:  Yeas</w:t>
      </w:r>
      <w:r xml:space="preserve">
        <w:t> </w:t>
      </w:r>
      <w:r>
        <w:t xml:space="preserve">138, Nays</w:t>
      </w:r>
      <w:r xml:space="preserve">
        <w:t> </w:t>
      </w:r>
      <w:r>
        <w:t xml:space="preserve">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