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death records maintained and provided by the vital statistics unit of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191.011.</w:t>
      </w:r>
      <w:r>
        <w:rPr>
          <w:u w:val="single"/>
        </w:rPr>
        <w:t xml:space="preserve"> </w:t>
      </w:r>
      <w:r>
        <w:rPr>
          <w:u w:val="single"/>
        </w:rPr>
        <w:t xml:space="preserve"> </w:t>
      </w:r>
      <w:r>
        <w:rPr>
          <w:u w:val="single"/>
        </w:rPr>
        <w:t xml:space="preserve">DEATH INFORMATION PROVIDED TO SECRETARY OF STATE.  (a)  The department shall implement an efficient and effective method to provide death information to the secretary of state to assist in maintaining the statewide computerized voter registration list under Section 18.061,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implemented under Subsection (a) must provide at least the following information on each deceased person for whom a death certificate is filed with a local registrar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residence of the deceased;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birth of the deceased;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of the deceased.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 memorandum of understanding with the secretary of state to implement this section.  The memorandum of understanding must include a mechanism for the department to provide the secretary of state with death information that includes unique identifiers necessary to accurately match death records with names included on the voter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require death certificates to include the county where the decedent died and the decedent's county of last legal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Once each week, on a day specified by the secretary of state, the </w:t>
      </w:r>
      <w:r>
        <w:rPr>
          <w:u w:val="single"/>
        </w:rPr>
        <w:t xml:space="preserve">vital statistics unit</w:t>
      </w:r>
      <w:r>
        <w:t xml:space="preserve"> [</w:t>
      </w:r>
      <w:r>
        <w:rPr>
          <w:strike/>
        </w:rPr>
        <w:t xml:space="preserve">Bureau of Vital Statistics</w:t>
      </w:r>
      <w:r>
        <w:t xml:space="preserve">] shall furnish to the secretary of state available information [</w:t>
      </w:r>
      <w:r>
        <w:rPr>
          <w:strike/>
        </w:rPr>
        <w:t xml:space="preserve">specified by the secretary</w:t>
      </w:r>
      <w:r>
        <w:t xml:space="preserve">] relating to deceased residents of the state </w:t>
      </w:r>
      <w:r>
        <w:rPr>
          <w:u w:val="single"/>
        </w:rPr>
        <w:t xml:space="preserve">as provided by Section 191.011, Health and Safety Code, in the form and manner specified by the secretary</w:t>
      </w:r>
      <w:r>
        <w:t xml:space="preserve">.  Periodically, the secretary shall furnish to the appropriate voter registrars information obtained from the </w:t>
      </w:r>
      <w:r>
        <w:rPr>
          <w:u w:val="single"/>
        </w:rPr>
        <w:t xml:space="preserve">unit</w:t>
      </w:r>
      <w:r>
        <w:t xml:space="preserve"> [</w:t>
      </w:r>
      <w:r>
        <w:rPr>
          <w:strike/>
        </w:rPr>
        <w:t xml:space="preserve">bureau</w:t>
      </w:r>
      <w:r>
        <w:t xml:space="preserve">] that will assist in identifying the deceased registered voters of each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545 passed the Senate on April</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545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141,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