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88R3943 KSD-F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548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limitation on the amount of tuition charged by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54, Education Code, is amended by adding Section 54.0514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54.0514.</w:t>
      </w:r>
      <w:r>
        <w:rPr>
          <w:u w:val="single"/>
        </w:rPr>
        <w:t xml:space="preserve"> </w:t>
      </w:r>
      <w:r>
        <w:rPr>
          <w:u w:val="single"/>
        </w:rPr>
        <w:t xml:space="preserve"> </w:t>
      </w:r>
      <w:r>
        <w:rPr>
          <w:u w:val="single"/>
        </w:rPr>
        <w:t xml:space="preserve">LIMITATION ON TOTAL AMOUNT OF TUITION.  (a)  In this section, "tuition"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tuition for which the rates are prescribed by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tuition charged by an institution of higher education under Section 54.0513 or another law authorizing an institution to establish tuition rates.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section does not apply to tuition charged by an institution of higher education for an academic period before the 2024-2025 academic year.  This subsection expires January 1, 2025.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total amount of tuition charged by an institution of higher education to a student for an academic year may not exceed the total amount of tuition that the institution would have charged under this chapter to a similarly situated student for the 2023-2024 academic year.  For purposes of this subsection, students are similarly situated if they share the same residency status, degree program, course load, course level, tuition exemption status, and other circumstances affecting the tuition charged to students.  This subsection does not ensure that the total amount of tuition charged to an individual student does not increase based on a change in the student's residency status, degree program, course load, course level, tuition exemption status, or other circumstance affecting the tuition charged to the student.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54.0513(a)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In addition to amounts that a governing board of an institution of higher education is authorized to charge as tuition under the other provisions of this chapter, the governing board[</w:t>
      </w:r>
      <w:r>
        <w:rPr>
          <w:strike/>
        </w:rPr>
        <w:t xml:space="preserve">, under the terms the governing board considers appropriate,</w:t>
      </w:r>
      <w:r>
        <w:t xml:space="preserve">] may charge any student an amount designated as tuition</w:t>
      </w:r>
      <w:r>
        <w:rPr>
          <w:u w:val="single"/>
        </w:rPr>
        <w:t xml:space="preserve">, not to exceed the amount that enables the institution to comply with Section 54.0514,</w:t>
      </w:r>
      <w:r>
        <w:t xml:space="preserve"> that the governing board considers necessary for the effective operation of the institution.</w:t>
      </w:r>
    </w:p>
    <w:p w:rsidR="003F3435" w:rsidRDefault="0032493E">
      <w:pPr>
        <w:spacing w:line="480" w:lineRule="auto"/>
        <w:ind w:firstLine="720"/>
        <w:jc w:val="both"/>
      </w:pPr>
      <w:r>
        <w:t xml:space="preserve">(b)</w:t>
      </w:r>
      <w:r xml:space="preserve">
        <w:t> </w:t>
      </w:r>
      <w:r xml:space="preserve">
        <w:t> </w:t>
      </w:r>
      <w:r>
        <w:rPr>
          <w:u w:val="single"/>
        </w:rPr>
        <w:t xml:space="preserve">Subject to the limit provided by Subsection (a) on the amount designated as tuition charged under this section, a</w:t>
      </w:r>
      <w:r>
        <w:t xml:space="preserve"> [</w:t>
      </w:r>
      <w:r>
        <w:rPr>
          <w:strike/>
        </w:rPr>
        <w:t xml:space="preserve">A</w:t>
      </w:r>
      <w:r>
        <w:t xml:space="preserve">] governing board may set a different tuition rate </w:t>
      </w:r>
      <w:r>
        <w:rPr>
          <w:u w:val="single"/>
        </w:rPr>
        <w:t xml:space="preserve">under this section</w:t>
      </w:r>
      <w:r>
        <w:t xml:space="preserve"> for each program and course level offered by each institution of higher education[</w:t>
      </w:r>
      <w:r>
        <w:rPr>
          <w:strike/>
        </w:rPr>
        <w:t xml:space="preserve">.  A governing board may set a different tuition rate</w:t>
      </w:r>
      <w:r>
        <w:t xml:space="preserve">] as the governing board considers appropriate to increase graduation rates, encourage efficient use of facilities, or enhance employee performance.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54.0515(e) and (f), Education Code, are amended to read as follows:</w:t>
      </w:r>
    </w:p>
    <w:p w:rsidR="003F3435" w:rsidRDefault="0032493E">
      <w:pPr>
        <w:spacing w:line="480" w:lineRule="auto"/>
        <w:ind w:firstLine="720"/>
        <w:jc w:val="both"/>
      </w:pPr>
      <w:r>
        <w:t xml:space="preserve">(e)</w:t>
      </w:r>
      <w:r xml:space="preserve">
        <w:t> </w:t>
      </w:r>
      <w:r xml:space="preserve">
        <w:t> </w:t>
      </w:r>
      <w:r>
        <w:t xml:space="preserve">It is the legislature's intent that each institution of higher education[</w:t>
      </w:r>
      <w:r>
        <w:rPr>
          <w:strike/>
        </w:rPr>
        <w:t xml:space="preserve">, as a condition to tuition deregulation under  Section 54.0513,</w:t>
      </w:r>
      <w:r>
        <w:t xml:space="preserve">] reasonably implement the following:</w:t>
      </w:r>
    </w:p>
    <w:p w:rsidR="003F3435" w:rsidRDefault="0032493E">
      <w:pPr>
        <w:spacing w:line="480" w:lineRule="auto"/>
        <w:ind w:firstLine="1440"/>
        <w:jc w:val="both"/>
      </w:pPr>
      <w:r>
        <w:t xml:space="preserve">(1)</w:t>
      </w:r>
      <w:r xml:space="preserve">
        <w:t> </w:t>
      </w:r>
      <w:r xml:space="preserve">
        <w:t> </w:t>
      </w:r>
      <w:r>
        <w:t xml:space="preserve">each institution shall make satisfactory progress towards the goals provided in its master plan for higher education and in "Closing the Gaps," the state's master plan for higher education</w:t>
      </w:r>
      <w:r>
        <w:rPr>
          <w:u w:val="single"/>
        </w:rPr>
        <w:t xml:space="preserve">, or a successor state master plan</w:t>
      </w:r>
      <w:r>
        <w:t xml:space="preserve">; and</w:t>
      </w:r>
    </w:p>
    <w:p w:rsidR="003F3435" w:rsidRDefault="0032493E">
      <w:pPr>
        <w:spacing w:line="480" w:lineRule="auto"/>
        <w:ind w:firstLine="1440"/>
        <w:jc w:val="both"/>
      </w:pPr>
      <w:r>
        <w:t xml:space="preserve">(2)</w:t>
      </w:r>
      <w:r xml:space="preserve">
        <w:t> </w:t>
      </w:r>
      <w:r xml:space="preserve">
        <w:t> </w:t>
      </w:r>
      <w:r>
        <w:t xml:space="preserve">each institution shall meet acceptable performance criteria, including measures such as graduation rates, retention rates, enrollment growth, educational quality, efforts to enhance minority participation, opportunities for financial aid, and affordability.</w:t>
      </w:r>
    </w:p>
    <w:p w:rsidR="003F3435" w:rsidRDefault="0032493E">
      <w:pPr>
        <w:spacing w:line="480" w:lineRule="auto"/>
        <w:ind w:firstLine="720"/>
        <w:jc w:val="both"/>
      </w:pPr>
      <w:r>
        <w:t xml:space="preserve">(f)</w:t>
      </w:r>
      <w:r xml:space="preserve">
        <w:t> </w:t>
      </w:r>
      <w:r xml:space="preserve">
        <w:t> </w:t>
      </w:r>
      <w:r>
        <w:t xml:space="preserve">The committee shall:</w:t>
      </w:r>
    </w:p>
    <w:p w:rsidR="003F3435" w:rsidRDefault="0032493E">
      <w:pPr>
        <w:spacing w:line="480" w:lineRule="auto"/>
        <w:ind w:firstLine="1440"/>
        <w:jc w:val="both"/>
      </w:pPr>
      <w:r>
        <w:t xml:space="preserve">(1)</w:t>
      </w:r>
      <w:r xml:space="preserve">
        <w:t> </w:t>
      </w:r>
      <w:r xml:space="preserve">
        <w:t> </w:t>
      </w:r>
      <w:r>
        <w:t xml:space="preserve">meet at the call of either chair;</w:t>
      </w:r>
    </w:p>
    <w:p w:rsidR="003F3435" w:rsidRDefault="0032493E">
      <w:pPr>
        <w:spacing w:line="480" w:lineRule="auto"/>
        <w:ind w:firstLine="1440"/>
        <w:jc w:val="both"/>
      </w:pPr>
      <w:r>
        <w:t xml:space="preserve">(2)</w:t>
      </w:r>
      <w:r xml:space="preserve">
        <w:t> </w:t>
      </w:r>
      <w:r xml:space="preserve">
        <w:t> </w:t>
      </w:r>
      <w:r>
        <w:t xml:space="preserve">monitor and regularly report to the legislature on each institution of higher education's compliance with the requirements of Subsection (e); and</w:t>
      </w:r>
    </w:p>
    <w:p w:rsidR="003F3435" w:rsidRDefault="0032493E">
      <w:pPr>
        <w:spacing w:line="480" w:lineRule="auto"/>
        <w:ind w:firstLine="1440"/>
        <w:jc w:val="both"/>
      </w:pPr>
      <w:r>
        <w:t xml:space="preserve">(3)</w:t>
      </w:r>
      <w:r xml:space="preserve">
        <w:t> </w:t>
      </w:r>
      <w:r xml:space="preserve">
        <w:t> </w:t>
      </w:r>
      <w:r>
        <w:t xml:space="preserve">receive and review information concerning the affordability and accessibility of higher education[</w:t>
      </w:r>
      <w:r>
        <w:rPr>
          <w:strike/>
        </w:rPr>
        <w:t xml:space="preserve">, including the impact of tuition deregulation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beginning with tuition charged by public institutions of higher education for the 2024 fall semester. Tuition charged by an institution of higher education in an academic period before that semester is covered by the law in effect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