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88R5556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dedication ceremonies for new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2166, Government Code, is amended by adding Section 2166.0611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DEDICATION CEREMONY.  (a) The commission may hold a ceremony to dedicate a new state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the commission may use available appropriated money or donated money to pay for the ceremony.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may use not more than $20,000 of appropriated money to purchase food, nonalcoholic beverages, flowers, decorations, and other items appropriate for the ceremony that the commission would otherwise be prohibited from purchasing.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or donations from any source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 to purchase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