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w:t>
      </w:r>
      <w:r>
        <w:rPr>
          <w:u w:val="single"/>
        </w:rPr>
        <w:t xml:space="preserve">August 31, 2027</w:t>
      </w:r>
      <w:r>
        <w:t xml:space="preserve"> [</w:t>
      </w:r>
      <w:r>
        <w:rPr>
          <w:strike/>
        </w:rPr>
        <w:t xml:space="preserve">February 1, 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565 passed the Senate on April</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565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119, Nays</w:t>
      </w:r>
      <w:r xml:space="preserve">
        <w:t> </w:t>
      </w:r>
      <w:r>
        <w:t xml:space="preserve">19,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