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572</w:t>
      </w:r>
    </w:p>
    <w:p w:rsidR="003F3435" w:rsidRDefault="0032493E">
      <w:pPr>
        <w:ind w:firstLine="720"/>
        <w:jc w:val="both"/>
      </w:pPr>
      <w:r>
        <w:t xml:space="preserve">(Kitzman)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general-law municipality or county to regulate residential child detention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REGULATION OF CERTAIN RESIDENTIAL CHILD DETENTION FACILITIES.  (a)  In this section, "residential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residential child detention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general-law municipality or a county in the unincorporated area of the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area in which a residential child detention facility may be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other measures necessary to protect the health and safety of the individuals residing in a residential child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