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 et al.</w:t>
      </w:r>
      <w:r xml:space="preserve">
        <w:tab wTab="150" tlc="none" cTlc="0"/>
      </w:r>
      <w:r>
        <w:t xml:space="preserve">S.B.</w:t>
      </w:r>
      <w:r xml:space="preserve">
        <w:t> </w:t>
      </w:r>
      <w:r>
        <w:t xml:space="preserve">No.</w:t>
      </w:r>
      <w:r xml:space="preserve">
        <w:t> </w:t>
      </w:r>
      <w:r>
        <w:t xml:space="preserve">574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School Violence Victims' Compensation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Government Code, is amended by adding to Chapter 403, subchapter S to read as follows:</w:t>
      </w:r>
    </w:p>
    <w:p w:rsidR="003F3435" w:rsidRDefault="0032493E">
      <w:pPr>
        <w:spacing w:line="480" w:lineRule="auto"/>
        <w:ind w:firstLine="2160"/>
        <w:jc w:val="both"/>
      </w:pPr>
      <w:r>
        <w:rPr>
          <w:u w:val="single"/>
        </w:rPr>
        <w:t xml:space="preserve">SUBCHAPTER S.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403.601.</w:t>
      </w:r>
      <w:r>
        <w:rPr>
          <w:u w:val="single"/>
        </w:rPr>
        <w:t xml:space="preserve"> </w:t>
      </w:r>
      <w:r>
        <w:rPr>
          <w:u w:val="single"/>
        </w:rPr>
        <w:t xml:space="preserve"> </w:t>
      </w:r>
      <w:r>
        <w:rPr>
          <w:u w:val="single"/>
        </w:rPr>
        <w:t xml:space="preserve">SHORT TITLE.  This chapter may be cited as the School Violence Victims' Compensation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403.602.</w:t>
      </w:r>
      <w:r>
        <w:rPr>
          <w:u w:val="single"/>
        </w:rPr>
        <w:t xml:space="preserve"> </w:t>
      </w:r>
      <w:r>
        <w:rPr>
          <w:u w:val="single"/>
        </w:rPr>
        <w:t xml:space="preserve"> </w:t>
      </w:r>
      <w:r>
        <w:rPr>
          <w:u w:val="single"/>
        </w:rPr>
        <w:t xml:space="preserve">LEGISLATIVE FINDINGS AND INTENT.  (a)  The legislature recognizes that it shall be the duty of the legislature to establish and make suitable provision for the support and maintenance of an efficient system of public free schools. The legislature further finds that a public school system in which Texas students are not safe from gun violence is not efficient nor suitable. The legislature also finds that there is a public calamity in relation to gun violence in Texas public schools necessitating a grant of aid to the students, teachers, and educational support personnel that have been victims of gun violence.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the legislature's intent that the compensation provided to the innocent victims of the violent gun-related crime that have occurred and will occur at Texas public schools ameliorates the pain caused by those attacks.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406.603.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authorized individual acting on behalf of a victim;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dependent of a victim who died or was injured as a result of the criminally injurious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or a household member of a victim;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authorized individual acting on behalf of a child described by Paragraph (B) or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"Household member"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related by consanguinity or affinity to the victim or is the legal guardian of the victim;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resided in the same permanent household as the victim at the time that the criminally injurious conduct occurred.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"Immediate family member" means an individual who is related to a victim within the second degree by consanguinity or affinity or is a legal guardian of the victim.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"Victim" means an individual who suffered personal injury or death as a result of a gun-related incident in a Texas public school since January 1, 2018.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403.604</w:t>
      </w:r>
      <w:r>
        <w:rPr>
          <w:u w:val="single"/>
        </w:rPr>
        <w:t xml:space="preserve"> </w:t>
      </w:r>
      <w:r>
        <w:rPr>
          <w:u w:val="single"/>
        </w:rPr>
        <w:t xml:space="preserve"> </w:t>
      </w:r>
      <w:r>
        <w:rPr>
          <w:u w:val="single"/>
        </w:rPr>
        <w:t xml:space="preserve">TYPES OF ASSISTANCE.  (a)  On receiving and reviewing an application for compensation under Section 403.605, the Comptroller shall authorize a cash payment within 60 days to a victim, a victim's immediate family, or a member of the household of the victim if the victim was seriously physically injured, murdered, or suffering from mental or emotional disability on account of a gun-related incident in a Texas public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certifying the veracity of the application, the Comptroller shall authorize the following cash payment to a victim, a victim's immediate family, or a member of the household of the victim:</w:t>
      </w:r>
    </w:p>
    <w:p w:rsidR="003F3435" w:rsidRDefault="0032493E">
      <w:pPr>
        <w:spacing w:line="480" w:lineRule="auto"/>
        <w:ind w:firstLine="2160"/>
        <w:jc w:val="both"/>
      </w:pPr>
      <w:r>
        <w:t xml:space="preserve">(1)</w:t>
      </w:r>
      <w:r xml:space="preserve">
        <w:t> </w:t>
      </w:r>
      <w:r xml:space="preserve">
        <w:t> </w:t>
      </w:r>
      <w:r>
        <w:rPr>
          <w:u w:val="single"/>
        </w:rPr>
        <w:t xml:space="preserve">$1,000,000 dollars per deceased victim payable to the victim's immediate surviving family or members of the household;</w:t>
      </w:r>
      <w:r>
        <w:t xml:space="preserve"> </w:t>
      </w:r>
    </w:p>
    <w:p w:rsidR="003F3435" w:rsidRDefault="0032493E">
      <w:pPr>
        <w:spacing w:line="480" w:lineRule="auto"/>
        <w:ind w:firstLine="2160"/>
        <w:jc w:val="both"/>
      </w:pPr>
      <w:r>
        <w:t xml:space="preserve">(2)</w:t>
      </w:r>
      <w:r xml:space="preserve">
        <w:t> </w:t>
      </w:r>
      <w:r xml:space="preserve">
        <w:t> </w:t>
      </w:r>
      <w:r>
        <w:rPr>
          <w:u w:val="single"/>
        </w:rPr>
        <w:t xml:space="preserve">$250,000 dollars per seriously physically injured victim payable to the victim;</w:t>
      </w:r>
    </w:p>
    <w:p w:rsidR="003F3435" w:rsidRDefault="0032493E">
      <w:pPr>
        <w:spacing w:line="480" w:lineRule="auto"/>
        <w:ind w:firstLine="2160"/>
        <w:jc w:val="both"/>
      </w:pPr>
      <w:r>
        <w:t xml:space="preserve">(3)</w:t>
      </w:r>
      <w:r xml:space="preserve">
        <w:t> </w:t>
      </w:r>
      <w:r xml:space="preserve">
        <w:t> </w:t>
      </w:r>
      <w:r>
        <w:rPr>
          <w:u w:val="single"/>
        </w:rPr>
        <w:t xml:space="preserve">$100,000 dollars per mental or emotional disability victim payable to the victim; and</w:t>
      </w:r>
    </w:p>
    <w:p w:rsidR="003F3435" w:rsidRDefault="0032493E">
      <w:pPr>
        <w:spacing w:line="480" w:lineRule="auto"/>
        <w:ind w:firstLine="2160"/>
        <w:jc w:val="both"/>
      </w:pPr>
      <w:r>
        <w:t xml:space="preserve">(4)</w:t>
      </w:r>
      <w:r xml:space="preserve">
        <w:t> </w:t>
      </w:r>
      <w:r xml:space="preserve">
        <w:t> </w:t>
      </w:r>
      <w:r>
        <w:rPr>
          <w:u w:val="single"/>
        </w:rPr>
        <w:t xml:space="preserve">$50,000 per physically injured victim payable to the victim.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reviewing the totality of factual circumstances surrounding the application, the Comptroller may divide the award between members of the immediate family, household, or legal guardians.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403.605.</w:t>
      </w:r>
      <w:r>
        <w:rPr>
          <w:u w:val="single"/>
        </w:rPr>
        <w:t xml:space="preserve"> </w:t>
      </w:r>
      <w:r>
        <w:rPr>
          <w:u w:val="single"/>
        </w:rPr>
        <w:t xml:space="preserve"> </w:t>
      </w:r>
      <w:r>
        <w:rPr>
          <w:u w:val="single"/>
        </w:rPr>
        <w:t xml:space="preserve">APPLICATION FOR COMPENSATION.  (a)  An applicant for compensation under this chapter must apply in writing on a form prescribed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compensation under this chapter must be verified and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injurious conduct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nature and circumstances of the injurious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indicating the extent of the psychological or physical injury caused by the injurious conduct, including any disability resulting from the injury incurred;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authorization permitting the board to verify the contents of the application;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relationship by consanguinity, affinity, or legal guardianship to any victim of a gun-related incident in a Texas public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403.606.</w:t>
      </w:r>
      <w:r>
        <w:rPr>
          <w:u w:val="single"/>
        </w:rPr>
        <w:t xml:space="preserve"> </w:t>
      </w:r>
      <w:r>
        <w:rPr>
          <w:u w:val="single"/>
        </w:rPr>
        <w:t xml:space="preserve"> </w:t>
      </w:r>
      <w:r>
        <w:rPr>
          <w:u w:val="single"/>
        </w:rPr>
        <w:t xml:space="preserve">REVIEW OF APPLICATION.  (a)  The Comptroller shall review each application for compensation described by Section 403.605 to ensure the application is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return to the claimant or victim any application that is incomplete and shall provide a brief statement showing the additional information required.  Not later than the 30th day after the date of receiving a returned application, a claimant or victim may provide the additional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investigate an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part of the Comptroller's review and verification duties under this subchapter, the Comptroller may investigate the application for truthfulness.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403.607.</w:t>
      </w:r>
      <w:r>
        <w:rPr>
          <w:u w:val="single"/>
        </w:rPr>
        <w:t xml:space="preserve"> </w:t>
      </w:r>
      <w:r>
        <w:rPr>
          <w:u w:val="single"/>
        </w:rPr>
        <w:t xml:space="preserve"> </w:t>
      </w:r>
      <w:r>
        <w:rPr>
          <w:u w:val="single"/>
        </w:rPr>
        <w:t xml:space="preserve">METHOD OF PAYMENT.  The Comptroller shall pay an award in a lump sum.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2, Tax Code, by adding Chapter 164 to read as follows:</w:t>
      </w:r>
    </w:p>
    <w:p w:rsidR="003F3435" w:rsidRDefault="0032493E">
      <w:pPr>
        <w:spacing w:line="480" w:lineRule="auto"/>
        <w:jc w:val="center"/>
      </w:pPr>
      <w:r>
        <w:rPr>
          <w:u w:val="single"/>
        </w:rPr>
        <w:t xml:space="preserve">CHAPTER 164. FIREARM AND AMMO TAX</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164.001.</w:t>
      </w:r>
      <w:r>
        <w:rPr>
          <w:u w:val="single"/>
        </w:rPr>
        <w:t xml:space="preserve"> </w:t>
      </w:r>
      <w:r>
        <w:rPr>
          <w:u w:val="single"/>
        </w:rPr>
        <w:t xml:space="preserve"> </w:t>
      </w:r>
      <w:r>
        <w:rPr>
          <w:u w:val="single"/>
        </w:rPr>
        <w:t xml:space="preserve">IMPOSITION AND RATE OF TAX.  (a)  A tax is imposed on every retail sale of firearms or ammunition sold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cents per round of ammunition for a firearm;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per firearm.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164.002.</w:t>
      </w:r>
      <w:r>
        <w:rPr>
          <w:u w:val="single"/>
        </w:rPr>
        <w:t xml:space="preserve"> </w:t>
      </w:r>
      <w:r>
        <w:rPr>
          <w:u w:val="single"/>
        </w:rPr>
        <w:t xml:space="preserve"> </w:t>
      </w:r>
      <w:r>
        <w:rPr>
          <w:u w:val="single"/>
        </w:rPr>
        <w:t xml:space="preserve">DEDICATION TO THE SCHOOL VIOLENCE VICTIMS'COMPENSATION FUND.  The revenue collected from any tax imposed by this chapter, and deposited to the general revenue fund may only be spent to fund the School Violence Victims' Compensation Fund under Subchapter S, Chapter 403,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compensation shall be cumulative of all other remedies, benefits, or compensation provided for by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