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88R27799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et al.</w:t>
      </w:r>
      <w:r xml:space="preserve">
        <w:tab wTab="150" tlc="none" cTlc="0"/>
      </w:r>
      <w:r>
        <w:t xml:space="preserve">S.B.</w:t>
      </w:r>
      <w:r xml:space="preserve">
        <w:t> </w:t>
      </w:r>
      <w:r>
        <w:t xml:space="preserve">No.</w:t>
      </w:r>
      <w:r xml:space="preserve">
        <w:t> </w:t>
      </w:r>
      <w:r>
        <w:t xml:space="preserve">576</w:t>
      </w:r>
    </w:p>
    <w:p w:rsidR="003F3435" w:rsidRDefault="0032493E">
      <w:pPr>
        <w:ind w:firstLine="720"/>
        <w:jc w:val="both"/>
      </w:pPr>
      <w:r>
        <w:t xml:space="preserve">(Thierry)</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576:</w:t>
      </w: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C.S.S.B.</w:t>
      </w:r>
      <w:r xml:space="preserve">
        <w:t> </w:t>
      </w:r>
      <w:r>
        <w:t xml:space="preserve">No.</w:t>
      </w:r>
      <w:r xml:space="preserve">
        <w:t> </w:t>
      </w:r>
      <w:r>
        <w:t xml:space="preserve">576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investigation, and prosecution of the criminal offense of financial abuse of an elderly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48.1522(a),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if during the course of the department's or another state agency's investigation of reported abuse, neglect, or exploitation</w:t>
      </w:r>
      <w:r>
        <w:rPr>
          <w:u w:val="single"/>
        </w:rPr>
        <w:t xml:space="preserve">, including an investigation of reported abuse, neglect, or exploitation under Subchapter F,</w:t>
      </w:r>
      <w:r>
        <w:t xml:space="preserve"> a caseworker of the department or other state agency, as applicable, or the caseworker's supervisor has cause to believe that the elderly person or person with a disability has been abused, neglected, or exploited by another person in a manner that constitutes a criminal offense under any law, including </w:t>
      </w:r>
      <w:r>
        <w:rPr>
          <w:u w:val="single"/>
        </w:rPr>
        <w:t xml:space="preserve">Sections</w:t>
      </w:r>
      <w:r>
        <w:t xml:space="preserve"> [</w:t>
      </w:r>
      <w:r>
        <w:rPr>
          <w:strike/>
        </w:rPr>
        <w:t xml:space="preserve">Section</w:t>
      </w:r>
      <w:r>
        <w:t xml:space="preserve">] 22.04 </w:t>
      </w:r>
      <w:r>
        <w:rPr>
          <w:u w:val="single"/>
        </w:rPr>
        <w:t xml:space="preserve">and 32.55</w:t>
      </w:r>
      <w:r>
        <w:t xml:space="preserve">, Penal Code, the caseworker or supervisor shall:</w:t>
      </w:r>
    </w:p>
    <w:p w:rsidR="003F3435" w:rsidRDefault="0032493E">
      <w:pPr>
        <w:spacing w:line="480" w:lineRule="auto"/>
        <w:ind w:firstLine="1440"/>
        <w:jc w:val="both"/>
      </w:pPr>
      <w:r>
        <w:t xml:space="preserve">(1)</w:t>
      </w:r>
      <w:r xml:space="preserve">
        <w:t> </w:t>
      </w:r>
      <w:r xml:space="preserve">
        <w:t> </w:t>
      </w:r>
      <w:r>
        <w:t xml:space="preserve">immediately notify an appropriate law enforcement agency, unless the law enforcement agency reported the alleged abuse, neglect, or exploitation to the department; and</w:t>
      </w:r>
    </w:p>
    <w:p w:rsidR="003F3435" w:rsidRDefault="0032493E">
      <w:pPr>
        <w:spacing w:line="480" w:lineRule="auto"/>
        <w:ind w:firstLine="1440"/>
        <w:jc w:val="both"/>
      </w:pPr>
      <w:r>
        <w:t xml:space="preserve">(2)</w:t>
      </w:r>
      <w:r xml:space="preserve">
        <w:t> </w:t>
      </w:r>
      <w:r xml:space="preserve">
        <w:t> </w:t>
      </w:r>
      <w:r>
        <w:t xml:space="preserve">provide the law enforcement agency with a copy of the investigation report of the department or other state agency, as applicable, in a timely manner.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48, Human Resources Code, is amended by adding Section 48.2535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48.2535.</w:t>
      </w:r>
      <w:r>
        <w:rPr>
          <w:u w:val="single"/>
        </w:rPr>
        <w:t xml:space="preserve"> </w:t>
      </w:r>
      <w:r>
        <w:rPr>
          <w:u w:val="single"/>
        </w:rPr>
        <w:t xml:space="preserve"> </w:t>
      </w:r>
      <w:r>
        <w:rPr>
          <w:u w:val="single"/>
        </w:rPr>
        <w:t xml:space="preserve">FORWARDING CERTAIN REPORTS OF CRIMINAL CONDUCT TO LAW ENFORCEMENT.  On receipt by the department of a report of alleged abuse or exploitation under this subchapter that the department believes constitutes an offense under Section 32.55, Penal Code, the department shall immediately notify an appropriate law enforcement agency, regardless of whether the report alleges conduct that constitutes abuse or exploitation for purposes of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32.55, Penal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There is a rebuttable presumption that any transfer, appropriation, or use of an elderly individual's money or other property by a person described by Subsection (b)(5) is wrongful for purposes of Subsection (a)(2) or (3) if it is shown on the trial of the offense that the actor knew or should have known that, at the time of the offense, the elderly individual had been diagnosed with dementia, Alzheimer's disease, or a related disorder.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48.2535, Human Resources Code, as added by this Act, applies only to a report received by the Department of Family and Protective Services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32.55(f), Penal Code, as added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