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88R2804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authority to establish, operate, and maintain a foreign trade zone at or adjacent to the Cotulla port of entry.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681, Business &amp; Commerce Code, is amended by adding Section 681.180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681.180.</w:t>
      </w:r>
      <w:r>
        <w:rPr>
          <w:u w:val="single"/>
        </w:rPr>
        <w:t xml:space="preserve"> </w:t>
      </w:r>
      <w:r>
        <w:rPr>
          <w:u w:val="single"/>
        </w:rPr>
        <w:t xml:space="preserve"> </w:t>
      </w:r>
      <w:r>
        <w:rPr>
          <w:u w:val="single"/>
        </w:rPr>
        <w:t xml:space="preserve">CITY OF COTULLA OR DESIGNEE.  The City of Cotulla, or a corporation organized under the laws of this state and designated by the City of Cotulla, may apply for and accept a grant of authority to establish, operate, and maintain: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foreign trade zone in the city of Cotulla, which may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land inside the boundaries of the Cotulla-La Salle County Airport;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private industrial land adjacent to the airport;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subzones.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