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88R3200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583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direct payment to a health care provider in lieu of a claim for benefits under a health benefit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1204, Insurance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DIRECT PAYMENT TO HEALTH CARE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1204.301.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"health care provider" means a health care practitioner or health care facility that provides health care services under a license, certificate, registration, or other similar evidence of regulation issued by this or another state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1204.302.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1204.303.</w:t>
      </w:r>
      <w:r>
        <w:rPr>
          <w:u w:val="single"/>
        </w:rPr>
        <w:t xml:space="preserve"> </w:t>
      </w:r>
      <w:r>
        <w:rPr>
          <w:u w:val="single"/>
        </w:rPr>
        <w:t xml:space="preserve"> </w:t>
      </w:r>
      <w:r>
        <w:rPr>
          <w:u w:val="single"/>
        </w:rPr>
        <w:t xml:space="preserve"> </w:t>
      </w:r>
      <w:r>
        <w:rPr>
          <w:u w:val="single"/>
        </w:rPr>
        <w:t xml:space="preserve">DIRECT PAYMENT IN LIEU OF CLAIM FOR BENEFITS; EFFECT ON PLAN.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health care provider may not be prohibited from accepting directly from an enrollee full payment for a health care service in lieu of submitting a claim to the enrollee's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552.003 or any other law, a health care provider's discounted cash price for services rendered is considered full payment for purposes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shall apply the charge for a health care service for which a health care provider accepts a payment described by Subsection (a) from an enrollee towards the enrollee's out-of-pocket maximum if the service is a covered service under the plan. Payments for uncovered services are ineligible to apply towards an enrollee's out-of-pocket maximum.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1204.303,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