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590</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24,</w:t>
      </w:r>
      <w:r xml:space="preserve">
        <w:t> </w:t>
      </w:r>
      <w:r>
        <w:t xml:space="preserve">2023; February</w:t>
      </w:r>
      <w:r xml:space="preserve">
        <w:t> </w:t>
      </w:r>
      <w:r>
        <w:t xml:space="preserve">17,</w:t>
      </w:r>
      <w:r xml:space="preserve">
        <w:t> </w:t>
      </w:r>
      <w:r>
        <w:t xml:space="preserve">2023, read first time and referred to Committee on Jurisprudence; April</w:t>
      </w:r>
      <w:r xml:space="preserve">
        <w:t> </w:t>
      </w:r>
      <w:r>
        <w:t xml:space="preserve">5,</w:t>
      </w:r>
      <w:r xml:space="preserve">
        <w:t> </w:t>
      </w:r>
      <w:r>
        <w:t xml:space="preserve">2023, reported adversely, with favorable Committee Substitute by the following vote:</w:t>
      </w:r>
      <w:r>
        <w:t xml:space="preserve"> </w:t>
      </w:r>
      <w:r>
        <w:t xml:space="preserve"> </w:t>
      </w:r>
      <w:r>
        <w:t xml:space="preserve">Yeas 4, Nays 0; April</w:t>
      </w:r>
      <w:r xml:space="preserve">
        <w:t> </w:t>
      </w:r>
      <w:r>
        <w:t xml:space="preserve">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590</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court order for retroactive child support, including for retroactive child support beginning on the date of the child's conception.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154.131, Family Code, is amended by adding Subsections (g), (h), and (i)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Subject to Subsections (c) and (d), it is presumed to be reasonable and in the best interest of the child for a court to order retroactive child support for the child beginning on the earliest possible date of the child's conception, as determined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physician using standard medical practice, as defined by Section 171.201, Health and Safety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preponderance of other evidence presented to the court, including the testimony of a parent of the child.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a proper showing, the court may order the obligor to pay, as additional retroactive child support, an equitable portion of all prenatal and postnatal health care expenses of the mother and the child.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court shall confirm the amount of retroactive child support and render a cumulative money judgment for the total amount of retroactive child support owed.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160.636(g), Family Code, is amended to read as follows:</w:t>
      </w:r>
    </w:p>
    <w:p w:rsidR="003F3435" w:rsidRDefault="0032493E">
      <w:pPr>
        <w:spacing w:line="480" w:lineRule="auto"/>
        <w:ind w:firstLine="720"/>
        <w:jc w:val="both"/>
      </w:pPr>
      <w:r>
        <w:t xml:space="preserve">(g)</w:t>
      </w:r>
      <w:r xml:space="preserve">
        <w:t> </w:t>
      </w:r>
      <w:r xml:space="preserve">
        <w:t> </w:t>
      </w:r>
      <w:r>
        <w:rPr>
          <w:u w:val="single"/>
        </w:rPr>
        <w:t xml:space="preserve">If a court renders an order under this chapter establishing a man's paternity of the child or establishing a child support obligation of a man whose paternity has been established by the execution of a valid acknowledgment of paternity in regard to the child under Subchapter D</w:t>
      </w:r>
      <w:r>
        <w:t xml:space="preserve"> [</w:t>
      </w:r>
      <w:r>
        <w:rPr>
          <w:strike/>
        </w:rPr>
        <w:t xml:space="preserve">On a finding of parentage</w:t>
      </w:r>
      <w:r>
        <w:t xml:space="preserve">], the court </w:t>
      </w:r>
      <w:r>
        <w:rPr>
          <w:u w:val="single"/>
        </w:rPr>
        <w:t xml:space="preserve">shall, on the request of a party and on a proper showing,</w:t>
      </w:r>
      <w:r>
        <w:t xml:space="preserve"> [</w:t>
      </w:r>
      <w:r>
        <w:rPr>
          <w:strike/>
        </w:rPr>
        <w:t xml:space="preserve">may</w:t>
      </w:r>
      <w:r>
        <w:t xml:space="preserve">] order retroactive child support as provided by </w:t>
      </w:r>
      <w:r>
        <w:rPr>
          <w:u w:val="single"/>
        </w:rPr>
        <w:t xml:space="preserve">Section 154.131</w:t>
      </w:r>
      <w:r>
        <w:t xml:space="preserve"> [</w:t>
      </w:r>
      <w:r>
        <w:rPr>
          <w:strike/>
        </w:rPr>
        <w:t xml:space="preserve">Chapter 154 and, on a proper showing, order a party to pay an equitable portion of all of the prenatal and postnatal health care expenses of the mother and the child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160.636(h), Family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with respect to an order adjudicating paternity apply only to an order rendered on or after the effective date of this Act. </w:t>
      </w:r>
      <w:r>
        <w:t xml:space="preserve"> </w:t>
      </w:r>
      <w:r>
        <w:t xml:space="preserve">An order adjudicating paternity rendered before the effective date of this Act is governed by the law in effect on the date the order is rendered,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with respect to an acknowledgment of paternity apply only to an acknowledgment of paternity executed on or after the effective date of this Act. </w:t>
      </w:r>
      <w:r>
        <w:t xml:space="preserve"> </w:t>
      </w:r>
      <w:r>
        <w:t xml:space="preserve">An acknowledgment of paternity executed before the effective date of this Act is governed by the law in effect on the date the acknowledgment is executed, and the former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590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