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598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enhancing the punishment for certain conduct constituting the criminal offense of aggravated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Todd-Hogland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22.02(b),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 except that the offense is a felony of the first degree if:</w:t>
      </w:r>
    </w:p>
    <w:p w:rsidR="003F3435" w:rsidRDefault="0032493E">
      <w:pPr>
        <w:spacing w:line="480" w:lineRule="auto"/>
        <w:ind w:firstLine="1440"/>
        <w:jc w:val="both"/>
      </w:pPr>
      <w:r>
        <w:t xml:space="preserve">(1)</w:t>
      </w:r>
      <w:r xml:space="preserve">
        <w:t> </w:t>
      </w:r>
      <w:r xml:space="preserve">
        <w:t> </w:t>
      </w:r>
      <w:r>
        <w:t xml:space="preserve">the actor uses a deadly weapon during the commission of the assault and causes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serious bodily injury to a person whose relationship to or association with the defendant is described by Section 71.0021(b), 71.003, or 71.005, Family Code;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traumatic brain or spine injury to another that results in a persistent vegetative state or irreversible paralysis;</w:t>
      </w:r>
    </w:p>
    <w:p w:rsidR="003F3435" w:rsidRDefault="0032493E">
      <w:pPr>
        <w:spacing w:line="480" w:lineRule="auto"/>
        <w:ind w:firstLine="1440"/>
        <w:jc w:val="both"/>
      </w:pPr>
      <w:r>
        <w:t xml:space="preserve">(2)</w:t>
      </w:r>
      <w:r xml:space="preserve">
        <w:t> </w:t>
      </w:r>
      <w:r xml:space="preserve">
        <w:t> </w:t>
      </w:r>
      <w:r>
        <w:t xml:space="preserve">regardless of whether the offense is committed under Subsection (a)(1) or (a)(2), the offense is committed:</w:t>
      </w:r>
    </w:p>
    <w:p w:rsidR="003F3435" w:rsidRDefault="0032493E">
      <w:pPr>
        <w:spacing w:line="480" w:lineRule="auto"/>
        <w:ind w:firstLine="2160"/>
        <w:jc w:val="both"/>
      </w:pPr>
      <w:r>
        <w:t xml:space="preserve">(A)</w:t>
      </w:r>
      <w:r xml:space="preserve">
        <w:t> </w:t>
      </w:r>
      <w:r xml:space="preserve">
        <w:t> </w:t>
      </w:r>
      <w:r>
        <w:t xml:space="preserve">by a public servant acting under color of the servant's office or employment;</w:t>
      </w:r>
    </w:p>
    <w:p w:rsidR="003F3435" w:rsidRDefault="0032493E">
      <w:pPr>
        <w:spacing w:line="480" w:lineRule="auto"/>
        <w:ind w:firstLine="2160"/>
        <w:jc w:val="both"/>
      </w:pPr>
      <w:r>
        <w:t xml:space="preserve">(B)</w:t>
      </w:r>
      <w:r xml:space="preserve">
        <w:t> </w:t>
      </w:r>
      <w:r xml:space="preserve">
        <w:t> </w:t>
      </w:r>
      <w:r>
        <w:t xml:space="preserve">against 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2160"/>
        <w:jc w:val="both"/>
      </w:pPr>
      <w:r>
        <w:t xml:space="preserve">(C)</w:t>
      </w:r>
      <w:r xml:space="preserve">
        <w:t> </w:t>
      </w:r>
      <w:r xml:space="preserve">
        <w:t> </w:t>
      </w:r>
      <w:r>
        <w:t xml:space="preserve">in retaliation against or on account of the service of another as a witness, prospective witness, informant, or person who has reported the occurrence of a crime;</w:t>
      </w:r>
    </w:p>
    <w:p w:rsidR="003F3435" w:rsidRDefault="0032493E">
      <w:pPr>
        <w:spacing w:line="480" w:lineRule="auto"/>
        <w:ind w:firstLine="2160"/>
        <w:jc w:val="both"/>
      </w:pPr>
      <w:r>
        <w:t xml:space="preserve">(D)</w:t>
      </w:r>
      <w:r xml:space="preserve">
        <w:t> </w:t>
      </w:r>
      <w:r xml:space="preserve">
        <w:t> </w:t>
      </w:r>
      <w:r>
        <w:t xml:space="preserve">against a person the actor knows is a process server while the person is performing a duty as a process server; or</w:t>
      </w:r>
    </w:p>
    <w:p w:rsidR="003F3435" w:rsidRDefault="0032493E">
      <w:pPr>
        <w:spacing w:line="480" w:lineRule="auto"/>
        <w:ind w:firstLine="2160"/>
        <w:jc w:val="both"/>
      </w:pPr>
      <w:r>
        <w:t xml:space="preserve">(E)</w:t>
      </w:r>
      <w:r xml:space="preserve">
        <w:t> </w:t>
      </w:r>
      <w:r xml:space="preserve">
        <w:t> </w:t>
      </w:r>
      <w:r>
        <w:t xml:space="preserve">against a person the actor knows is a security officer while the officer is performing a duty as a security officer; or</w:t>
      </w:r>
    </w:p>
    <w:p w:rsidR="003F3435" w:rsidRDefault="0032493E">
      <w:pPr>
        <w:spacing w:line="480" w:lineRule="auto"/>
        <w:ind w:firstLine="1440"/>
        <w:jc w:val="both"/>
      </w:pPr>
      <w:r>
        <w:t xml:space="preserve">(3)</w:t>
      </w:r>
      <w:r xml:space="preserve">
        <w:t> </w:t>
      </w:r>
      <w:r xml:space="preserve">
        <w:t> </w:t>
      </w:r>
      <w:r>
        <w:t xml:space="preserve">the actor is in a motor vehicle, as defined by Section 501.002, Transportation Code, and:</w:t>
      </w:r>
    </w:p>
    <w:p w:rsidR="003F3435" w:rsidRDefault="0032493E">
      <w:pPr>
        <w:spacing w:line="480" w:lineRule="auto"/>
        <w:ind w:firstLine="2160"/>
        <w:jc w:val="both"/>
      </w:pPr>
      <w:r>
        <w:t xml:space="preserve">(A)</w:t>
      </w:r>
      <w:r xml:space="preserve">
        <w:t> </w:t>
      </w:r>
      <w:r xml:space="preserve">
        <w:t> </w:t>
      </w:r>
      <w:r>
        <w:t xml:space="preserve">knowingly discharges a firearm at or in the direction of a habitation, building, or vehicle;</w:t>
      </w:r>
    </w:p>
    <w:p w:rsidR="003F3435" w:rsidRDefault="0032493E">
      <w:pPr>
        <w:spacing w:line="480" w:lineRule="auto"/>
        <w:ind w:firstLine="2160"/>
        <w:jc w:val="both"/>
      </w:pPr>
      <w:r>
        <w:t xml:space="preserve">(B)</w:t>
      </w:r>
      <w:r xml:space="preserve">
        <w:t> </w:t>
      </w:r>
      <w:r xml:space="preserve">
        <w:t> </w:t>
      </w:r>
      <w:r>
        <w:t xml:space="preserve">is reckless as to whether the habitation, building, or vehicle is occupied; and</w:t>
      </w:r>
    </w:p>
    <w:p w:rsidR="003F3435" w:rsidRDefault="0032493E">
      <w:pPr>
        <w:spacing w:line="480" w:lineRule="auto"/>
        <w:ind w:firstLine="2160"/>
        <w:jc w:val="both"/>
      </w:pPr>
      <w:r>
        <w:t xml:space="preserve">(C)</w:t>
      </w:r>
      <w:r xml:space="preserve">
        <w:t> </w:t>
      </w:r>
      <w:r xml:space="preserve">
        <w:t> </w:t>
      </w:r>
      <w:r>
        <w:t xml:space="preserve">in discharging the firearm, causes serious bodily injury to any person.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