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Bettencourt</w:t>
      </w:r>
      <w:r xml:space="preserve">
        <w:tab wTab="150" tlc="none" cTlc="0"/>
      </w:r>
      <w:r>
        <w:t xml:space="preserve">S.B.</w:t>
      </w:r>
      <w:r xml:space="preserve">
        <w:t> </w:t>
      </w:r>
      <w:r>
        <w:t xml:space="preserve">No.</w:t>
      </w:r>
      <w:r xml:space="preserve">
        <w:t> </w:t>
      </w:r>
      <w:r>
        <w:t xml:space="preserve">599</w:t>
      </w:r>
    </w:p>
    <w:p w:rsidR="003F3435" w:rsidRDefault="0032493E">
      <w:pPr>
        <w:jc w:val="both"/>
      </w:pPr>
      <w:r xml:space="preserve">
        <w:t> </w:t>
      </w:r>
      <w:r xml:space="preserve">
        <w:t> </w:t>
      </w:r>
      <w:r xml:space="preserve">
        <w:t> </w:t>
      </w:r>
      <w:r xml:space="preserve">
        <w:t> </w:t>
      </w:r>
      <w:r xml:space="preserve">
        <w:t> </w:t>
      </w:r>
      <w:r>
        <w:t xml:space="preserve">Hughes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a district clerk and the issuance of a handgun license to a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clerk who is carrying a handgun the district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