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Flores</w:t>
      </w:r>
      <w:r xml:space="preserve">
        <w:tab wTab="150" tlc="none" cTlc="0"/>
      </w:r>
      <w:r>
        <w:t xml:space="preserve">S.B.</w:t>
      </w:r>
      <w:r xml:space="preserve">
        <w:t> </w:t>
      </w:r>
      <w:r>
        <w:t xml:space="preserve">No.</w:t>
      </w:r>
      <w:r xml:space="preserve">
        <w:t> </w:t>
      </w:r>
      <w:r>
        <w:t xml:space="preserve">602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law enforcement authority of federal border patrol agents.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2.122, Code of Criminal Procedure,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addition to the power granted under Subsection (c), a Border Patrol Agent of the United States Customs and Border Protection who completed the training program described by Section 411.02093, Government Code, has the powers of arrest and search and seizure as to any felony offense under the laws of this state if the arrest, search, or seizure: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occurs on the premises of a port facility designated by the commissioner of the United States Customs and Border Protection as a port of entry or at a border patrol traffic checkpoint;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incident to a detainment under federal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411, Government Code, is amended by adding Section 411.02093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411.02093.</w:t>
      </w:r>
      <w:r>
        <w:rPr>
          <w:u w:val="single"/>
        </w:rPr>
        <w:t xml:space="preserve"> </w:t>
      </w:r>
      <w:r>
        <w:rPr>
          <w:u w:val="single"/>
        </w:rPr>
        <w:t xml:space="preserve"> </w:t>
      </w:r>
      <w:r>
        <w:rPr>
          <w:u w:val="single"/>
        </w:rPr>
        <w:t xml:space="preserve">STATE CRIMINAL LAW TRAINING PROGRAM FOR BORDER PATROL AGENTS.  (a) </w:t>
      </w:r>
      <w:r>
        <w:rPr>
          <w:u w:val="single"/>
        </w:rPr>
        <w:t xml:space="preserve"> </w:t>
      </w:r>
      <w:r>
        <w:rPr>
          <w:u w:val="single"/>
        </w:rPr>
        <w:t xml:space="preserve">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training program for Border Patrol Agents of the United States Customs and Border Protection on the criminal laws of this state, including laws relating to arrest, search, and seizure;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request, provide the training program developed under Subdivision (1) to a Border Patrol Agent.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enter into a written agreement with  the United States Customs and Border Protection for purposes of providing the training program developed under this section.</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office of the attorney general shall give written notice to the commanding authority of each United States border patrol sector in this state regarding the authority granted to border patrol agents by this Act and the circumstances under which this authority may be exercised.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