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88R754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senior living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8, Property Code, is amended by adding Chapter 95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95. SENIOR LIVING FACILITIES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concierge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common dining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housekeeping services;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full-time security.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living facility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living contract" means a contract with a resident of a senior living facility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living facility" means a residential facility or a portion of a residential facility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managed by a single entity;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resident to be 55 years of age or older;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not fewer than 20 residential units in one or more multiunit buildings that are available to rent or lease;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on a single lot or tract of land or on multiple contiguous lots or tracts of land;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260.001, Health and Safety Code, that holds a permit issued under Chapter 260,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living facility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facility employee a criminal history record check using, at a minimum,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business that provides services to the facility to conduct for each employee of the business who will have access to the facility's premises or residents a criminal history record check using, at a minimum, the computerized criminal history system maintained by the Department of Public Safety of the State of Texas;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all instances of criminal activity that occur at the facility to a law enforcement officer, including, if applicable, information regarding the involvement of a facility employee or contractor in the criminal activity.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living facility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facility;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facility to conduct a voluntary interview with a resident as part of an investigation into criminal activity at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AGREEMENT OR CONTRACT PROVISIONS.  A lease, rental, or purchase agreement for a residential unit in a senior living facility or a senior living contract with a resident may not include a provision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waives liability in an action brought under Section 95.005;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arbitration of a dispute related to liability under Section 95.005;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controls the content or execution of the resident's advance directive or testamentary documents.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LIABILITY.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living facility is liable to a resident for actual damages incurred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facility's failure to implement a safety policy or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74, Civil Practice and Remedies Code, does not apply to an action brought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CUMULATIVE REMEDIES.  The remedies provided by this chapter are not exclusive and are in addition to any other remedy provided by law, including a remedy provided for a tenant against a landlord under this title,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Section 95.004, Property Code, as added by this Act, applies only to an agreement or contract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95.005, Property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