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88R3984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616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motorcycle profiling by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2.1315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2.1315.</w:t>
      </w:r>
      <w:r>
        <w:rPr>
          <w:u w:val="single"/>
        </w:rPr>
        <w:t xml:space="preserve"> </w:t>
      </w:r>
      <w:r>
        <w:rPr>
          <w:u w:val="single"/>
        </w:rPr>
        <w:t xml:space="preserve"> </w:t>
      </w:r>
      <w:r>
        <w:rPr>
          <w:u w:val="single"/>
        </w:rPr>
        <w:t xml:space="preserve">MOTORCYCLE PROFILING PROHIBITED.  (a)  In this article, "motorcycle profiling" means a law enforcement-initiated action based wholly or partly on an individual operating a motorcycle or wearing motorcycle-related or motorcycle club-related paraphernalia rather than on the individual's behavior or on information identifying the individual as having engaged in criminal activity.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may not engage in motorcycle profiling.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117 to read as follows:</w:t>
      </w:r>
    </w:p>
    <w:p w:rsidR="003F3435" w:rsidRDefault="0032493E">
      <w:pPr>
        <w:spacing w:line="480" w:lineRule="auto"/>
        <w:jc w:val="center"/>
      </w:pPr>
      <w:r>
        <w:rPr>
          <w:u w:val="single"/>
        </w:rPr>
        <w:t xml:space="preserve">CHAPTER 117.  LIABILITY ARISING FROM CONDUCT OF PEACE OFFICERS OR LAW ENFORCEMENT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117.001.</w:t>
      </w:r>
      <w:r>
        <w:rPr>
          <w:u w:val="single"/>
        </w:rPr>
        <w:t xml:space="preserve"> </w:t>
      </w:r>
      <w:r>
        <w:rPr>
          <w:u w:val="single"/>
        </w:rPr>
        <w:t xml:space="preserve"> </w:t>
      </w:r>
      <w:r>
        <w:rPr>
          <w:u w:val="single"/>
        </w:rPr>
        <w:t xml:space="preserve">MOTORCYCLE PROFILING.  (a)  An individual against whom a peace officer has engaged in motorcycle profiling in violation of Article 2.1315, Code of Criminal Procedure, may bring an action against the peace officer or the governmental unit employing the peace officer to recover damages arising from the motorcycle profiling and for an injunction against future violations of that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establishes in an action under this section that a peace officer engaged in motorcycle profiling against the individual is entitled to recover reasonable attorney's fees and litigation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unit is vicariously liable under the doctrine of respondeat superior for damages arising from motorcycle profiling engaged in by a peace officer employed by the governmental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unit's sovereign or governmental immunity to suit and from liability is waived to the extent of liability created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may not assert official immunity as a defense to liability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117,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