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 et al.</w:t>
      </w:r>
      <w:r xml:space="preserve">
        <w:tab wTab="150" tlc="none" cTlc="0"/>
      </w:r>
      <w:r>
        <w:t xml:space="preserve">S.B.</w:t>
      </w:r>
      <w:r xml:space="preserve">
        <w:t> </w:t>
      </w:r>
      <w:r>
        <w:t xml:space="preserve">No.</w:t>
      </w:r>
      <w:r xml:space="preserve">
        <w:t> </w:t>
      </w:r>
      <w:r>
        <w:t xml:space="preserve">617</w:t>
      </w:r>
    </w:p>
    <w:p w:rsidR="003F3435" w:rsidRDefault="0032493E">
      <w:pPr>
        <w:ind w:firstLine="720"/>
        <w:jc w:val="both"/>
      </w:pPr>
      <w:r>
        <w:t xml:space="preserve">(González of El Paso, Guillen, Gamez, Lopez of Cameron,</w:t>
      </w:r>
    </w:p>
    <w:p w:rsidR="003F3435" w:rsidRDefault="0032493E">
      <w:pPr>
        <w:ind w:firstLine="720"/>
        <w:jc w:val="both"/>
      </w:pPr>
      <w:r>
        <w:t xml:space="preserve">VanDeaver,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home address information in ad valorem tax appraisal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25.025(a),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2.12,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2.12,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2.122(a),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 [</w:t>
      </w:r>
      <w:r>
        <w:rPr>
          <w:strike/>
        </w:rPr>
        <w:t xml:space="preserve">and</w:t>
      </w:r>
      <w:r>
        <w:t xml:space="preserve">]</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r>
        <w:rPr>
          <w:u w:val="single"/>
        </w:rPr>
        <w:t xml:space="preserve">; and</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a customs and border protection officer or border patrol agent of United States Customs and Border Protection or the spouse, surviving spouse, or adult child of a customs and border protection officer or border patrol agent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