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621</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position of chief information security officer in the Department of Information Resources.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N-1, Chapter 2054, Government Code, is amended by adding Section 2054.510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2054.510.</w:t>
      </w:r>
      <w:r>
        <w:rPr>
          <w:u w:val="single"/>
        </w:rPr>
        <w:t xml:space="preserve"> </w:t>
      </w:r>
      <w:r>
        <w:rPr>
          <w:u w:val="single"/>
        </w:rPr>
        <w:t xml:space="preserve"> </w:t>
      </w:r>
      <w:r>
        <w:rPr>
          <w:u w:val="single"/>
        </w:rPr>
        <w:t xml:space="preserve">CHIEF INFORMATION SECURITY OFFICER.  (a)  In this section, "state information security program" means the policies, standards, procedures, elements, structure, strategies, objectives, plans, metrics, reports, services, and resources that establish the information resources security function for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director, using existing funds, shall employ a chief information security officer.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chief information security officer shall oversee cybersecurity matters for this state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implementing the duties described by Section 2054.059;</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responding to reports received under Section 2054.1125;</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developing a statewide information security framework;</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overseeing the development of statewide information security policies and standards;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collaborating with state agencies, local governmental entities, and other entities operating or exercising control over state information systems or state-controlled data to strengthen this state's cybersecurity and information security policies, standards, and guidelines;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overseeing the implementation of the policies, standards, and guidelines developed under Subdivisions (3) and (4);</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providing information security leadership, strategic direction, and coordination for the state information security program;</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providing strategic direction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network security center established under Section 2059.101;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statewide technology centers operated under Subchapter L;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overseeing the preparation and submission of the report described by Section 2054.0591.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621 passed the Senate on March</w:t>
      </w:r>
      <w:r xml:space="preserve">
        <w:t> </w:t>
      </w:r>
      <w:r>
        <w:t xml:space="preserve">23,</w:t>
      </w:r>
      <w:r xml:space="preserve">
        <w:t> </w:t>
      </w:r>
      <w:r>
        <w:t xml:space="preserve">2023, by the following vote:  Yeas</w:t>
      </w:r>
      <w:r xml:space="preserve">
        <w:t> </w:t>
      </w:r>
      <w:r>
        <w:t xml:space="preserve">31, Nays</w:t>
      </w:r>
      <w:r xml:space="preserve">
        <w:t> </w:t>
      </w:r>
      <w:r>
        <w:t xml:space="preserve">0; and that the Senate concurred in House amendment on May</w:t>
      </w:r>
      <w:r xml:space="preserve">
        <w:t> </w:t>
      </w:r>
      <w:r>
        <w:t xml:space="preserve">19,</w:t>
      </w:r>
      <w:r xml:space="preserve">
        <w:t> </w:t>
      </w:r>
      <w:r>
        <w:t xml:space="preserve">2023, by the following vote:  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621 passed the House, with amendment, on May</w:t>
      </w:r>
      <w:r xml:space="preserve">
        <w:t> </w:t>
      </w:r>
      <w:r>
        <w:t xml:space="preserve">17,</w:t>
      </w:r>
      <w:r xml:space="preserve">
        <w:t> </w:t>
      </w:r>
      <w:r>
        <w:t xml:space="preserve">2023, by the following vote:  Yeas</w:t>
      </w:r>
      <w:r xml:space="preserve">
        <w:t> </w:t>
      </w:r>
      <w:r>
        <w:t xml:space="preserve">143, Nays</w:t>
      </w:r>
      <w:r xml:space="preserve">
        <w:t> </w:t>
      </w:r>
      <w:r>
        <w:t xml:space="preserve">1, one</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