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622</w:t>
      </w:r>
    </w:p>
    <w:p w:rsidR="003F3435" w:rsidRDefault="0032493E">
      <w:pPr>
        <w:ind w:firstLine="720"/>
        <w:jc w:val="both"/>
      </w:pPr>
      <w:r>
        <w:t xml:space="preserve">(Smithee)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of certain prescription drug information by a health benefit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1369, Insurance Code, is amended by adding Subchapter B-2 to read as follows:</w:t>
      </w:r>
    </w:p>
    <w:p w:rsidR="003F3435" w:rsidRDefault="0032493E">
      <w:pPr>
        <w:spacing w:line="480" w:lineRule="auto"/>
        <w:jc w:val="center"/>
      </w:pPr>
      <w:r>
        <w:rPr>
          <w:u w:val="single"/>
        </w:rPr>
        <w:t xml:space="preserve">SUBCHAPTER B-2. </w:t>
      </w:r>
      <w:r>
        <w:rPr>
          <w:u w:val="single"/>
        </w:rPr>
        <w:t xml:space="preserve"> </w:t>
      </w:r>
      <w:r>
        <w:rPr>
          <w:u w:val="single"/>
        </w:rPr>
        <w:t xml:space="preserve">DISCLOSURE OF CERTAIN PRESCRIPTION DRUG INFORMATION SPECIFIED BY DRUG FORMULARY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"Cost-sharing information" means the actual out-of-pocket amount an enrollee is required to pay a dispensing pharmacy or prescribing provider for a prescription drug under the enrollee's health benefit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"Drug formulary," "enrollee," and "prescription drug" have the meanings assigned by Section 1369.051.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"Standard API" means an application interface that meets the requirements of an applicable American National Standards Institute (ANSI) accredited standard to conform to standards adopted under 45 C.F.R. Section 170.215.</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1369.092.</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nonprofit agricultural organization health benefits offered by a nonprofit agricultural organization under Chapter 1682;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1369.093.</w:t>
      </w:r>
      <w:r>
        <w:rPr>
          <w:u w:val="single"/>
        </w:rPr>
        <w:t xml:space="preserve"> </w:t>
      </w:r>
      <w:r>
        <w:rPr>
          <w:u w:val="single"/>
        </w:rPr>
        <w:t xml:space="preserve"> </w:t>
      </w:r>
      <w:r>
        <w:rPr>
          <w:u w:val="single"/>
        </w:rPr>
        <w:t xml:space="preserve">EXCEPTIONS TO APPLICABILITY OF SUBCHAPTER.  This subchapter does not apply to an issuer or provider of health benefits under or a pharmacy benefit manager administering pharmacy benefits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TRICARE military health system;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workers' compensation insurance policy or other form of providing medical benefits under Title 5,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1369.094.</w:t>
      </w:r>
      <w:r>
        <w:rPr>
          <w:u w:val="single"/>
        </w:rPr>
        <w:t xml:space="preserve"> </w:t>
      </w:r>
      <w:r>
        <w:rPr>
          <w:u w:val="single"/>
        </w:rPr>
        <w:t xml:space="preserve"> </w:t>
      </w:r>
      <w:r>
        <w:rPr>
          <w:u w:val="single"/>
        </w:rPr>
        <w:t xml:space="preserve">DISCLOSURE OF PRESCRIPTION DRUG INFORMATION.  (a) </w:t>
      </w:r>
      <w:r>
        <w:rPr>
          <w:u w:val="single"/>
        </w:rPr>
        <w:t xml:space="preserve"> </w:t>
      </w:r>
      <w:r>
        <w:rPr>
          <w:u w:val="single"/>
        </w:rPr>
        <w:t xml:space="preserve">This section applies only with respect to a prescription drug covered under a health benefit plan's pharmacy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issuer that covers prescription drugs shall provide information regarding a covered prescription drug to an enrollee or the enrollee's prescribing provider on request. The information provided must include the issuer's drug formulary and, for the prescription drug and any formulary alternative: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enrollee's eligibility;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cost-sharing information, including any deductible, copayment, or coinsurance, which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consistent with cost-sharing requirements under the enrollee's plan;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accurate at the time the cost-sharing information is provided;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include any variance in cost-sharing based on the patient's preferred dispensing retail or mail-order pharmacy or the prescribing provider;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applicable utilization management requirements.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providing the information required under Subsection (b), a health benefit plan issuer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respond in real time to a request made through a standard API;</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the use of an integrated technology or service as necessary to provide the required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the information provided is current no later than one business day after the date a change is made;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the information if the request is made using the drug's unique billing code and National Drug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health benefit plan issuer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or delay a response to a request for information under Subsection (b) for the purpose of blocking the release of the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restrict a prescribing provider from communicating to the enrollee the information provided under Subsection (b), information about the cash price of the drug, or any additional information on any lower cost or clinically appropriate alternative drug, whether or not the drug is covered under the enrollee's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required by law, interfere with, prevent, or materially discourage access to or the exchange or use of the information provided under Subsection (b),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charging a fee to access the information;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responding to a request within the time required by this section;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instituting a consent requirement for an enrollee to access the information;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penalize, including by taking any action intended to punish or discourage future similar behavior by the prescribing provider, a prescribing provider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disclosing the information provided under Subsection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prescribing, administering, or ordering a lower cost or clinically appropriate alternative drug.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health benefit plan issuer with fewer than 10,000 enrollees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 with the department to receive an additional 12 months after the effective date of this subchapter to comply with the requirements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the additional 12 months provided for in Subdivision (1), request from the department a temporary exception from one or more requirements of this section by submitting a report to the department that demonstrates that compliance would impose an unreasonable cost relative to the public value that would be gained from full compliance.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health benefit plan delivered, issued for delivery, or renewed on or after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