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88R4251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622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prescription drug information by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DISCLOSURE OF CERTAIN PRESCRIPTION DRUG INFORMATION SPECIFIED BY DRUG FORMULARY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"Drug formulary," "enrollee," and "prescription drug" have the meanings assigned by Section 1369.051.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 API" means an application interface that is standardized for vendors to conform to in order to access information under 45 C.F.R. Section 170.215.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1369.094.</w:t>
      </w:r>
      <w:r>
        <w:rPr>
          <w:u w:val="single"/>
        </w:rPr>
        <w:t xml:space="preserve"> </w:t>
      </w:r>
      <w:r>
        <w:rPr>
          <w:u w:val="single"/>
        </w:rPr>
        <w:t xml:space="preserve"> </w:t>
      </w:r>
      <w:r>
        <w:rPr>
          <w:u w:val="single"/>
        </w:rPr>
        <w:t xml:space="preserve">DISCLOSURE OF PRESCRIPTION DRUG INFORMATION.  (a) </w:t>
      </w:r>
      <w:r>
        <w:rPr>
          <w:u w:val="single"/>
        </w:rPr>
        <w:t xml:space="preserve"> </w:t>
      </w:r>
      <w:r>
        <w:rPr>
          <w:u w:val="single"/>
        </w:rPr>
        <w:t xml:space="preserve">A health benefit plan issuer that covers prescription drugs and uses one or more drug formularies to specify the prescription drugs covered under the plan shall provide information regarding a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enrollee's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cost-sharing information, including any deductible, copayment, or coinsurance, which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consistent with cost-sharing requirements under the enrollee's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accurate at the time the cost-sharing information is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applicable utilization management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providing the information required under Subsection (a), a health benefit plan issuer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in real time to a request made through a standard API;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 of an integrated technology or service as necessary to provide the required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information provided is current no later than one business day after the date a change is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information if the request is made using the drug's unique billing code and National Drug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 response to a request for information under Subsection (a) for the purpose of blocking the release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prescribing provider from communicating to the enrollee the information provided under Subsection (a),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required by law, interfere with, prevent, or materially discourage access to or the exchange or use of the information provided under Subsection (a),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charging a fee to access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responding to a request within the time required by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instituting a consent requirement for an enrollee to access the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disclosing the information provided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prescribing, administering, or ordering a lower cost or clinically appropriate alternative drug.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