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88R21355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627</w:t>
      </w:r>
    </w:p>
    <w:p w:rsidR="003F3435" w:rsidRDefault="0032493E">
      <w:pPr>
        <w:ind w:firstLine="720"/>
        <w:jc w:val="both"/>
      </w:pPr>
      <w:r>
        <w:t xml:space="preserve">(Allison)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627:</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C.S.S.B.</w:t>
      </w:r>
      <w:r xml:space="preserve">
        <w:t> </w:t>
      </w:r>
      <w:r>
        <w:t xml:space="preserve">No.</w:t>
      </w:r>
      <w:r xml:space="preserve">
        <w:t> </w:t>
      </w:r>
      <w:r>
        <w:t xml:space="preserve">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certain municipalities to certain tax revenue related to a hotel and convention center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w:t>
      </w:r>
      <w:r>
        <w:rPr>
          <w:u w:val="single"/>
        </w:rPr>
        <w:t xml:space="preserve">351.152(5), (6),</w:t>
      </w:r>
      <w:r>
        <w:t xml:space="preserve"> [</w:t>
      </w:r>
      <w:r>
        <w:rPr>
          <w:strike/>
        </w:rPr>
        <w:t xml:space="preserve">351.152(6)</w:t>
      </w:r>
      <w:r>
        <w:t xml:space="preserve">] or (29).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351.157(a),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any person if the establishment is located in a municipality described by Section 351.152(3)</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w:t xml:space="preserve"> [</w:t>
      </w:r>
      <w:r>
        <w:rPr>
          <w:strike/>
        </w:rPr>
        <w:t xml:space="preserve">owned by</w:t>
      </w:r>
      <w:r>
        <w:t xml:space="preserve">] the federal government if the establishment is located in a municipality described by Section 351.152(6);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nonprofit corporation, including a public facility corporation, that is acting as or on behalf of, or that is controlled by, a municipality, if the establishment is located in a municipality described by Section 351.152(5);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municipality described by Section 351.152(5);</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and</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for a municipality described by Subsection (b)(1-a):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spas,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Tax Code, is amended by adding Section 351.161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RECAPTURE OF LOST STATE TAX REVENUE FROM CERTAIN MUNICIPALITIES.  (a)  This section applies only to a municipality described by Section 351.152(5).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Sections 351.156 and 351.157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Sections 351.156 and 351.157 received by the state during the period beginning on the 10th anniversary of the date the qualified hotel opened for initial occupancy and ending on the 20th anniversary of that date from the same sources from which the municipality received revenue under Section 351.156 or 351.157.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