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unemployment compensation for employees who leave the workplace due to sexual harassment.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207.046(a),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individual's separation from employment was caused by the individual being called to provide:</w:t>
      </w:r>
    </w:p>
    <w:p w:rsidR="003F3435" w:rsidRDefault="0032493E">
      <w:pPr>
        <w:spacing w:line="480" w:lineRule="auto"/>
        <w:ind w:firstLine="2160"/>
        <w:jc w:val="both"/>
      </w:pPr>
      <w:r>
        <w:t xml:space="preserve">(A)</w:t>
      </w:r>
      <w:r xml:space="preserve">
        <w:t> </w:t>
      </w:r>
      <w:r xml:space="preserve">
        <w:t> </w:t>
      </w:r>
      <w:r>
        <w:t xml:space="preserve">service in the uniformed services, as defined by 38 U.S.C. Section 4303; or</w:t>
      </w:r>
    </w:p>
    <w:p w:rsidR="003F3435" w:rsidRDefault="0032493E">
      <w:pPr>
        <w:spacing w:line="480" w:lineRule="auto"/>
        <w:ind w:firstLine="2160"/>
        <w:jc w:val="both"/>
      </w:pPr>
      <w:r>
        <w:t xml:space="preserve">(B)</w:t>
      </w:r>
      <w:r xml:space="preserve">
        <w:t> </w:t>
      </w:r>
      <w:r xml:space="preserve">
        <w:t> </w:t>
      </w:r>
      <w:r>
        <w:t xml:space="preserve">service in the Texas military forces, as defined by Section 437.001, Government Code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 leaves the workplace because of sexual harassment, but only if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reported the sexual harassment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individual's employer;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filed a sexual harassment complaint with the commission under Chapter 21 or with the federal Equal Employment Opportunity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