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88R279 MM-D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641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vaccination against bacterial meningitis of public school students.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38.001, Education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Each student shall be fully immunized against bacterial meningitis, except as provided by Subsection (c). To satisfy the requirement of this subsection, a student must show proof of a quadrivalent meningococcal conjugate vaccine and a booster dose of that vaccine in accordance with the recommended immunization schedule adopted by the Department of State Health Services, as well as any additional vaccine recommended for the prevention of bacterial meningitis by the federal Centers for Disease Control and Prevention. The executive commissioner of the Health and Human Services Commission shall adopt rules for the implementation of this subsection.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June 1, 2024, the executive commissioner of the Health and Human Services Commission shall adopt the rules necessary to implement Section 38.001(a-1), Education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38.001(a-1), Education Code, as added by this Act, applies beginning with the 2024-2025 school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