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88R4718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644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municipal hotel occupancy tax revenue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351, Tax Code, is amended by adding Section 351.10713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351.10713.</w:t>
      </w:r>
      <w:r>
        <w:rPr>
          <w:u w:val="single"/>
        </w:rPr>
        <w:t xml:space="preserve"> </w:t>
      </w:r>
      <w:r>
        <w:rPr>
          <w:u w:val="single"/>
        </w:rPr>
        <w:t xml:space="preserve"> </w:t>
      </w:r>
      <w:r>
        <w:rPr>
          <w:u w:val="single"/>
        </w:rPr>
        <w:t xml:space="preserve">ALLOCATION OF REVENUE FOR CONSTRUCTION, EXPANSION, AND OPERATION OF RECREATIONAL OR SPORTS FACILITIES AND FIELDS BY CERTAIN MUNICIPALITIES.</w:t>
      </w:r>
      <w:r>
        <w:rPr>
          <w:u w:val="single"/>
        </w:rPr>
        <w:t xml:space="preserve"> </w:t>
      </w:r>
      <w:r>
        <w:rPr>
          <w:u w:val="single"/>
        </w:rPr>
        <w:t xml:space="preserve"> </w:t>
      </w:r>
      <w:r>
        <w:rPr>
          <w:u w:val="single"/>
        </w:rPr>
        <w:t xml:space="preserve">(a) </w:t>
      </w:r>
      <w:r>
        <w:rPr>
          <w:u w:val="single"/>
        </w:rPr>
        <w:t xml:space="preserve"> </w:t>
      </w:r>
      <w:r>
        <w:rPr>
          <w:u w:val="single"/>
        </w:rPr>
        <w:t xml:space="preserve">This section applies only to a municipality that is the county seat of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borders the Gulf of Mexico;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Colorado River flows.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chapter, a municipality to which this section applies may use all or any portion of the revenue derived from the municipal hotel occupancy tax to construct, expand, or operate recreational or sports facilities and fields owned by the municipality for the purpose of promoting tourism and the convention and hotel industry.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