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646</w:t>
      </w:r>
    </w:p>
    <w:p w:rsidR="003F3435" w:rsidRDefault="0032493E">
      <w:pPr>
        <w:ind w:firstLine="720"/>
        <w:jc w:val="both"/>
      </w:pPr>
      <w:r>
        <w:t xml:space="preserve">(Kuempel)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formula funding for certain nonresident students enrolled at Lamar State College--Orange.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61.059, Education Code, is amended by adding Subsection (n-1)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(n-1)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formula applicable to Lamar State College--Orange for funding instruction and administration, the board shall include any contact hours taught through distance education to students enrolled at that college who reside in another state and: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permitted by Section 54.231(a), pay tuition at the rate charged to residents of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reside in a county or parish in the other state that is contiguous to the county in which the college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