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88R2330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political subdivisions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a political subdivision, other than a county or municipal utility district, that holds its general election for officers on a date other than the November uniform election date may [</w:t>
      </w:r>
      <w:r>
        <w:rPr>
          <w:strike/>
        </w:rPr>
        <w:t xml:space="preserve">, not later than December 31, 2016,</w:t>
      </w:r>
      <w:r>
        <w:t xml:space="preserve">] change the date on which it holds its general election for officers to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