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2023S0054-T  01/23/23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649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in athletic activities based on biological sex; providing a civil right to action for K-12 athletes and college athletes.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This Act may be cited as the Save Women's Sports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33.0834, Education Code, is amended to read as follows:</w:t>
      </w:r>
    </w:p>
    <w:p w:rsidR="003F3435" w:rsidRDefault="0032493E">
      <w:pPr>
        <w:spacing w:line="480" w:lineRule="auto"/>
        <w:ind w:firstLine="720"/>
        <w:jc w:val="both"/>
      </w:pPr>
      <w:r>
        <w:t xml:space="preserve">Sec.</w:t>
      </w:r>
      <w:r xml:space="preserve">
        <w:t> </w:t>
      </w:r>
      <w:r>
        <w:t xml:space="preserve">33.0834.</w:t>
      </w:r>
      <w:r xml:space="preserve">
        <w:t> </w:t>
      </w:r>
      <w:r xml:space="preserve">
        <w:t> </w:t>
      </w:r>
      <w:r>
        <w:t xml:space="preserve">[</w:t>
      </w:r>
      <w:r>
        <w:rPr>
          <w:strike/>
        </w:rPr>
        <w:t xml:space="preserve">INTERSCHOLASTIC</w:t>
      </w:r>
      <w:r>
        <w:t xml:space="preserve">] ATHLETIC </w:t>
      </w:r>
      <w:r>
        <w:rPr>
          <w:u w:val="single"/>
        </w:rPr>
        <w:t xml:space="preserve">PARTICIPATION</w:t>
      </w:r>
      <w:r>
        <w:t xml:space="preserve"> [</w:t>
      </w:r>
      <w:r>
        <w:rPr>
          <w:strike/>
        </w:rPr>
        <w:t xml:space="preserve">COMPETITION</w:t>
      </w:r>
      <w:r>
        <w:t xml:space="preserve">] BASED ON BIOLOGICAL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33.0834, Education Code, is amended by amending Subsections (a) and (b)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 [</w:t>
      </w:r>
      <w:r>
        <w:rPr>
          <w:strike/>
        </w:rPr>
        <w:t xml:space="preserve">interscholastic</w:t>
      </w:r>
      <w:r>
        <w:t xml:space="preserve">] athletic team </w:t>
      </w:r>
      <w:r>
        <w:rPr>
          <w:u w:val="single"/>
        </w:rPr>
        <w:t xml:space="preserve">or sport</w:t>
      </w:r>
      <w:r>
        <w:t xml:space="preserve"> sponsored or authorized by a school district</w:t>
      </w:r>
      <w:r>
        <w:rPr>
          <w:u w:val="single"/>
        </w:rPr>
        <w:t xml:space="preserve">,</w:t>
      </w:r>
      <w:r>
        <w:t xml:space="preserve"> [</w:t>
      </w:r>
      <w:r>
        <w:rPr>
          <w:strike/>
        </w:rPr>
        <w:t xml:space="preserve">or</w:t>
      </w:r>
      <w:r>
        <w:t xml:space="preserve">] open-enrollment charter school</w:t>
      </w:r>
      <w:r>
        <w:rPr>
          <w:u w:val="single"/>
        </w:rPr>
        <w:t xml:space="preserve">, or any private school that competes against a public school</w:t>
      </w:r>
      <w:r>
        <w:t xml:space="preserve"> may not allow a student to </w:t>
      </w:r>
      <w:r>
        <w:rPr>
          <w:u w:val="single"/>
        </w:rPr>
        <w:t xml:space="preserve">participate</w:t>
      </w:r>
      <w:r>
        <w:t xml:space="preserve"> [</w:t>
      </w:r>
      <w:r>
        <w:rPr>
          <w:strike/>
        </w:rPr>
        <w:t xml:space="preserve">compete</w:t>
      </w:r>
      <w:r>
        <w:t xml:space="preserve">] in an [</w:t>
      </w:r>
      <w:r>
        <w:rPr>
          <w:strike/>
        </w:rPr>
        <w:t xml:space="preserve">interscholastic</w:t>
      </w:r>
      <w:r>
        <w:t xml:space="preserve">] athletic </w:t>
      </w:r>
      <w:r>
        <w:rPr>
          <w:u w:val="single"/>
        </w:rPr>
        <w:t xml:space="preserve">team or sport</w:t>
      </w:r>
      <w:r>
        <w:t xml:space="preserve"> [</w:t>
      </w:r>
      <w:r>
        <w:rPr>
          <w:strike/>
        </w:rPr>
        <w:t xml:space="preserve">competition</w:t>
      </w:r>
      <w:r>
        <w:t xml:space="preserve">]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t xml:space="preserve">(1)</w:t>
      </w:r>
      <w:r xml:space="preserve">
        <w:t> </w:t>
      </w:r>
      <w:r xml:space="preserve">
        <w:t> </w:t>
      </w:r>
      <w:r>
        <w:t xml:space="preserve">the student's official birth certificate, as described by Subsection (c); or</w:t>
      </w:r>
    </w:p>
    <w:p w:rsidR="003F3435" w:rsidRDefault="0032493E">
      <w:pPr>
        <w:spacing w:line="480" w:lineRule="auto"/>
        <w:ind w:firstLine="1440"/>
        <w:jc w:val="both"/>
      </w:pPr>
      <w:r>
        <w:t xml:space="preserve">(2)</w:t>
      </w:r>
      <w:r xml:space="preserve">
        <w:t> </w:t>
      </w:r>
      <w:r xml:space="preserve">
        <w:t> </w:t>
      </w:r>
      <w:r>
        <w:t xml:space="preserve">if the student's official birth certificate described by Subdivision (1) is unobtainable, another government record </w:t>
      </w:r>
      <w:r>
        <w:rPr>
          <w:u w:val="single"/>
        </w:rPr>
        <w:t xml:space="preserve">that accurately states the student's biological sex</w:t>
      </w:r>
      <w:r>
        <w:t xml:space="preserve">.</w:t>
      </w:r>
    </w:p>
    <w:p w:rsidR="003F3435" w:rsidRDefault="0032493E">
      <w:pPr>
        <w:spacing w:line="480" w:lineRule="auto"/>
        <w:ind w:firstLine="720"/>
        <w:jc w:val="both"/>
      </w:pPr>
      <w:r>
        <w:t xml:space="preserve">(b)</w:t>
      </w:r>
      <w:r xml:space="preserve">
        <w:t> </w:t>
      </w:r>
      <w:r xml:space="preserve">
        <w:t> </w:t>
      </w:r>
      <w:r>
        <w:t xml:space="preserve">An [</w:t>
      </w:r>
      <w:r>
        <w:rPr>
          <w:strike/>
        </w:rPr>
        <w:t xml:space="preserve">interscholastic</w:t>
      </w:r>
      <w:r>
        <w:t xml:space="preserve">] athletic team </w:t>
      </w:r>
      <w:r>
        <w:rPr>
          <w:u w:val="single"/>
        </w:rPr>
        <w:t xml:space="preserve">or sport</w:t>
      </w:r>
      <w:r>
        <w:t xml:space="preserve"> described by Subsection (a) may allow a female student to </w:t>
      </w:r>
      <w:r>
        <w:rPr>
          <w:u w:val="single"/>
        </w:rPr>
        <w:t xml:space="preserve">participate</w:t>
      </w:r>
      <w:r>
        <w:t xml:space="preserve"> [</w:t>
      </w:r>
      <w:r>
        <w:rPr>
          <w:strike/>
        </w:rPr>
        <w:t xml:space="preserve">compete</w:t>
      </w:r>
      <w:r>
        <w:t xml:space="preserve">] in an [</w:t>
      </w:r>
      <w:r>
        <w:rPr>
          <w:strike/>
        </w:rPr>
        <w:t xml:space="preserve">interscholastic</w:t>
      </w:r>
      <w:r>
        <w:t xml:space="preserve">] athletic </w:t>
      </w:r>
      <w:r>
        <w:rPr>
          <w:u w:val="single"/>
        </w:rPr>
        <w:t xml:space="preserve">team or sport</w:t>
      </w:r>
      <w:r>
        <w:t xml:space="preserve"> [</w:t>
      </w:r>
      <w:r>
        <w:rPr>
          <w:strike/>
        </w:rPr>
        <w:t xml:space="preserve">competition</w:t>
      </w:r>
      <w:r>
        <w:t xml:space="preserve">] that is designated for male students if a corresponding [</w:t>
      </w:r>
      <w:r>
        <w:rPr>
          <w:strike/>
        </w:rPr>
        <w:t xml:space="preserve">interscholastic</w:t>
      </w:r>
      <w:r>
        <w:t xml:space="preserve">] athletic </w:t>
      </w:r>
      <w:r>
        <w:rPr>
          <w:u w:val="single"/>
        </w:rPr>
        <w:t xml:space="preserve">team or sport</w:t>
      </w:r>
      <w:r>
        <w:t xml:space="preserve"> [</w:t>
      </w:r>
      <w:r>
        <w:rPr>
          <w:strike/>
        </w:rPr>
        <w:t xml:space="preserve">competition</w:t>
      </w:r>
      <w:r>
        <w:t xml:space="preserve">] designated for female students is not offered or available.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shall have a private cause of action for injunctive relief, damages, attorney's fees and costs, and any other relief available under law if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deprived of an athletic opportunity or suffers any direct or indirect harm as a result of a school district, charter school, or private school knowingly violating this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retaliation or other adverse action by a school district, charter school, private school, the University Interscholastic League, or any athletic association or organization as a result of reporting a violation of this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Sovereign immunity, governmental immunity, official immunity, and qualified immunity are waived and abrogated and may not be asserted as a defense in any action brought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the requirements and provisions of this section prevail over any conflicting or potentially conflicting statute, and no statute may be construed to repeal the requirements or provisions of this section in whole or in part, either expressly or by implication, unless the repealing statute explicitly states that it is repealing a requirement or provision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51, Education Code, is amended by adding Section 51.982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51.982.</w:t>
      </w:r>
      <w:r>
        <w:rPr>
          <w:u w:val="single"/>
        </w:rPr>
        <w:t xml:space="preserve"> </w:t>
      </w:r>
      <w:r>
        <w:rPr>
          <w:u w:val="single"/>
        </w:rPr>
        <w:t xml:space="preserve"> </w:t>
      </w:r>
      <w:r>
        <w:rPr>
          <w:u w:val="single"/>
        </w:rPr>
        <w:t xml:space="preserve">ATHLETIC PARTICIPATION BASED ON BIOLOGICAL SEX.  (a)  Except as provided by Subsection (b), an athletic team or sport sponsored or authorized by a public institution of higher education, public junior college, or any private institution or private junior college that competes against a public institution or public junior college may not allow a student to participate in an athletic team or sport sponsored or authorized by the institution of higher education or junior college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 that accurately states the student's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athletic team or sport described by Subsection (a) may allow a female student to participate in an athletic team or sport that is designated for male students if a corresponding athletic team or sport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shall have a private cause of action for injunctive relief, damages, attorney's fees and costs, and any other relief available under law if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deprived of an athletic opportunity or suffers any direct or indirect harm as a result of an institution of higher education or junior college knowingly violating this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retaliation or other adverse action by an institution of higher education, junior college, or any athletic association or organization as a result of reporting a violation of this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Sovereign immunity, governmental immunity, official immunity, and qualified immunity are waived and abrogated and may not be asserted as a defense in any action brought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requirements and provisions of this section prevail over any conflicting or potentially conflicting statute, and no statute may be construed to repeal the requirements or provisions of this section in whole or in part, either expressly or by implication, unless the repealing statute explicitly states that it is repealing a requirement or provision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EDUCATION LAWS.  (a)  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athletic participation based on biological sex in any state or federal court, or that represents any litigant seeking such relief in any state or federal court, is jointly and severally liable to pay the costs and reasonable attorney's fees of the prevailing party,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is brought under Subsection (d) in any one of the venues described by Subsection (f), then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contractual choice-of-forum provision that purports to require a civil action under Subsection (d) to be litigated in another forum shall be void as against public policy and may not be enforced in any state or federal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SEVERABILITY.  (a)</w:t>
      </w:r>
      <w:r xml:space="preserve">
        <w:t> </w:t>
      </w:r>
      <w:r xml:space="preserve">
        <w:t> </w:t>
      </w:r>
      <w:r>
        <w:t xml:space="preserve">Mindful of </w:t>
      </w:r>
      <w:r>
        <w:rPr>
          <w:i/>
        </w:rPr>
        <w:t xml:space="preserve">Leavitt v</w:t>
      </w:r>
      <w:r>
        <w:t xml:space="preserve">. </w:t>
      </w:r>
      <w:r>
        <w:rPr>
          <w:i/>
        </w:rPr>
        <w:t xml:space="preserve">Jane L</w:t>
      </w:r>
      <w:r>
        <w:t xml:space="preserve">., 518 U.S. 137 (1996), in which in the context of determining the severability of a state statute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w:t>
      </w:r>
      <w:r>
        <w:t xml:space="preserve"> </w:t>
      </w:r>
      <w:r>
        <w:t xml:space="preserve">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 (a), (b), (c), (d), or (e), of this section and declares or finds any provision of this Act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