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88R3726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689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public safety dual credit grant program by the Texas Education Agency.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29, Education Code, is amended by adding Section 29.9081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29.9081.</w:t>
      </w:r>
      <w:r>
        <w:rPr>
          <w:u w:val="single"/>
        </w:rPr>
        <w:t xml:space="preserve"> </w:t>
      </w:r>
      <w:r>
        <w:rPr>
          <w:u w:val="single"/>
        </w:rPr>
        <w:t xml:space="preserve"> </w:t>
      </w:r>
      <w:r>
        <w:rPr>
          <w:u w:val="single"/>
        </w:rPr>
        <w:t xml:space="preserve">PUBLIC SAFETY DUAL CREDIT GRANT PROGRAM.  (a)  From funds appropriated or otherwise available for the purpose, the agency shall establish and administer a program to provide grants to eligible students who enroll while in high school in a dual credit public safety degree or certificate program at a public institution of higher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by rule shall establish eligibility criteria to receive a grant under this section.  The criteria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 student to enter into an agreement with the agency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complete the student's public safety degree or certificate program within a period prescribed by commissioner rule;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 completion of the student's degree or certificate program and any other prerequisites for employment as a peace officer or other public safety officer in this state, complete a number of years of employment as a peace officer or other public safety officer in this state, as prescribed by commissioner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that a student who establishes initial eligibility for a grant under this section remains eligible for a grant under this section for the duration of the student's enrollment in a public safety degree or certificate program at a public institution of higher education as long as the student continues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make satisfactory academic progress toward the degree or certificate;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meet other requirements prescribed by commissioner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amount of a grant awarded to a student under this section is equal to the cost of tuition and required fees incurred by the student for enrollment in a public safety degree or certificate program at a public institution of higher education.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student receiving a grant under this section may use the money only to pay the cost of tuition and required fees incurred by the student for enrollment in a public safety degree or certificate program at a public institution of higher education.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may solicit and accept gifts, grants, and donations from any public or private source for the purpose of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adopt rules to establish and administer the grant program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Education Agency shall establish the public safety dual credit grant program under Section 29.9081,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