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691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animal share exemption for certain meat and meat food products;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433, Health and Safety Code, is amended by adding Section 433.0065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433.0065.</w:t>
      </w:r>
      <w:r>
        <w:rPr>
          <w:u w:val="single"/>
        </w:rPr>
        <w:t xml:space="preserve"> </w:t>
      </w:r>
      <w:r>
        <w:rPr>
          <w:u w:val="single"/>
        </w:rPr>
        <w:t xml:space="preserve"> </w:t>
      </w:r>
      <w:r>
        <w:rPr>
          <w:u w:val="single"/>
        </w:rPr>
        <w:t xml:space="preserve">ANIMAL SHARE EXEMPTION; CIVIL PENALTY.  (a) </w:t>
      </w:r>
      <w:r>
        <w:rPr>
          <w:u w:val="single"/>
        </w:rPr>
        <w:t xml:space="preserve"> </w:t>
      </w:r>
      <w:r>
        <w:rPr>
          <w:u w:val="single"/>
        </w:rP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share executed by a co-owner and a farmer or rancher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bill of sale the farmer or rancher provides to the co-owner conveying an ownership interest in the livestock;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entitling the co-owner to a share of meat and meat food products derived from the livestock.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meat and meat food products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following preparation, delivered directly to the co-owner;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separate written statement that prominently displays the warning;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warning statement prominently displayed on a label affixed to the meat or meat food product packaging;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label affixed to the meat or meat food product clearly and conspicuously states "Not for Sale";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sell, donate, or commercially redistribute meat or meat food products produced in accordance with this section. </w:t>
      </w:r>
      <w:r>
        <w:rPr>
          <w:u w:val="single"/>
        </w:rPr>
        <w:t xml:space="preserve"> </w:t>
      </w:r>
      <w:r>
        <w:rPr>
          <w:u w:val="single"/>
        </w:rPr>
        <w:t xml:space="preserve">A person who violates this subsection is liable to this state for a civil penalty in the amount of $10,000 for each violation. </w:t>
      </w:r>
      <w:r>
        <w:rPr>
          <w:u w:val="single"/>
        </w:rPr>
        <w:t xml:space="preserve"> </w:t>
      </w:r>
      <w:r>
        <w:rPr>
          <w:u w:val="single"/>
        </w:rP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adulteration and misbranding provisions of this chapter, other than the requirement of an inspection legend, apply to meat or meat food products prepared by a processing establishment under this section.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the preparation of meat or meat food products in violation of the Federal Meat Inspection Act (21 U.S.C. Section 601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433.024(b),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 </w:t>
      </w:r>
      <w:r>
        <w:t xml:space="preserve"> </w:t>
      </w:r>
      <w:r>
        <w:t xml:space="preserve">This subsection does not nullify the provisions in Section 433.006 relating to exemptions </w:t>
      </w:r>
      <w:r>
        <w:rPr>
          <w:u w:val="single"/>
        </w:rPr>
        <w:t xml:space="preserve">or Section 433.0065 relating to an animal share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