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88R9087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694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of a religious organization or an employee or volunteer of a religious organization for security services provided to the organization.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84, Civil Practice and Remedies Code, is amended by adding Section 84.0067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84.0067.</w:t>
      </w:r>
      <w:r>
        <w:rPr>
          <w:u w:val="single"/>
        </w:rPr>
        <w:t xml:space="preserve"> </w:t>
      </w:r>
      <w:r>
        <w:rPr>
          <w:u w:val="single"/>
        </w:rPr>
        <w:t xml:space="preserve"> </w:t>
      </w:r>
      <w:r>
        <w:rPr>
          <w:u w:val="single"/>
        </w:rPr>
        <w:t xml:space="preserve">LIABILITY ARISING FROM PROVISION OF SECURITY SERVICES TO RELIGIOUS ORGANIZATION.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"Religious organization" means a charitable organization that is a religious organization under Section 110.011(b).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"Security personnel" means an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whom a religious organization hires to provide security services to the organization as an employee;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is a volunteer of a religious organization whose duties or functions include providing security services to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religious organization or security personnel of a religious organization is immune from civil liability for any act or omission by the security personnel resulting in death, damage, or injury if the security personnel was acting in the course and scope of the security personnel's employment or volunteer duties or functions, as applicable, to provide security services to the organization,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84.007(a), an intentional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 involving possession or use of a firearm.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84.0067,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