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699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3,</w:t>
      </w:r>
      <w:r xml:space="preserve">
        <w:t> </w:t>
      </w:r>
      <w:r>
        <w:t xml:space="preserve">2023; February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read first time and referred to Committee on Local Government;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continuation of a health care provider participation program by a certain hospital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298E.004,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298E.004.</w:t>
      </w:r>
      <w:r xml:space="preserve">
        <w:t> </w:t>
      </w:r>
      <w:r xml:space="preserve">
        <w:t> </w:t>
      </w:r>
      <w:r>
        <w:t xml:space="preserve">EXPIRATION.</w:t>
      </w:r>
      <w:r xml:space="preserve">
        <w:t> </w:t>
      </w:r>
      <w:r xml:space="preserve">
        <w:t> </w:t>
      </w:r>
      <w:r>
        <w:t xml:space="preserve">(a)</w:t>
      </w:r>
      <w:r xml:space="preserve">
        <w:t> </w:t>
      </w:r>
      <w:r xml:space="preserve">
        <w:t> </w:t>
      </w:r>
      <w:r>
        <w:t xml:space="preserve">Subject to Section 298E.153(d), the authority of a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