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2023S0068-1  01/27/23</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711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purchase of or other acquisition of title to real property by prohibited foreign actors.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5.005, Property Code, is amended to read as follows:</w:t>
      </w:r>
    </w:p>
    <w:p w:rsidR="003F3435" w:rsidRDefault="0032493E">
      <w:pPr>
        <w:spacing w:line="480" w:lineRule="auto"/>
        <w:ind w:firstLine="720"/>
        <w:jc w:val="both"/>
      </w:pPr>
      <w:r>
        <w:t xml:space="preserve">Sec.</w:t>
      </w:r>
      <w:r xml:space="preserve">
        <w:t> </w:t>
      </w:r>
      <w:r>
        <w:t xml:space="preserve">5.005.</w:t>
      </w:r>
      <w:r xml:space="preserve">
        <w:t> </w:t>
      </w:r>
      <w:r xml:space="preserve">
        <w:t> </w:t>
      </w:r>
      <w:r>
        <w:t xml:space="preserve">ALIENS.  </w:t>
      </w:r>
      <w:r>
        <w:rPr>
          <w:u w:val="single"/>
        </w:rPr>
        <w:t xml:space="preserve">Except as provided by Section 5.0051, an</w:t>
      </w:r>
      <w:r>
        <w:t xml:space="preserve"> [</w:t>
      </w:r>
      <w:r>
        <w:rPr>
          <w:strike/>
        </w:rPr>
        <w:t xml:space="preserve">An</w:t>
      </w:r>
      <w:r>
        <w:t xml:space="preserve">] alien has the same real and personal property rights as a United States citizen.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5, Property Code, is amended by adding Section 5.0051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5.0051.</w:t>
      </w:r>
      <w:r>
        <w:rPr>
          <w:u w:val="single"/>
        </w:rPr>
        <w:t xml:space="preserve"> </w:t>
      </w:r>
      <w:r>
        <w:rPr>
          <w:u w:val="single"/>
        </w:rPr>
        <w:t xml:space="preserve"> </w:t>
      </w:r>
      <w:r>
        <w:rPr>
          <w:u w:val="single"/>
        </w:rPr>
        <w:t xml:space="preserve">FOREIGN OWNERSHIP OR ACQUISITION OF REAL PROPERTY.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"Real property" has the meaning assigned by Section 1.04(2),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"Prohibited foreign actor" means an alien, business, government, or an agent, trustee, or fiduciary of an alien, business, or government from a country identified as a country that poses a risk to the national security of the United States in the most recent annual report on worldwide threats, commonly known as the Annual Threat Assessment, issued by the Director of National Intelligence pursuant to Section 108B, National Security Act of 1947 (50 U.S.C. 3043b).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prohibited foreign actor may not purchase or otherwise acquire title to real property in this state without written notification to the seller.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buyer required to provide written notification under Subsection (b) shall do so as soon as reasonably possible, but not later than 10 days before the closing of the property. The notification shall specifically identify: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buyer is an alien, foreign business, foreign government, or an agent, trustee, or fiduciary of an alien, foreign business, or foreign government;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buyer's country of citizenship or country of creation or organization.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Upon receipt of written notification described by Subsection (c), a seller may choose to proceed with the sale of the property or immediately revoke any promise to sell the property.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court shall dismiss any action brought against a seller for revoking a promise to sell real property based on a notification provided under Subsection (c), and no party shall recover any damages in a suit against a seller if the seller revokes a promise to sell based on notification provided under Subsection (c).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Texas Real Estate Commission shall develop a form to provide the written notification required by Subsection (c).</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the purchase of or other acquisition of title to real property on or after the effective date of this Act.  The purchase of or other acquisition of title to real property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