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88R3533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post-traumatic stress disorder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401.011, Labor Code, is amended by amending Subdivision (35-a) and adding Subdivision (35-b) to read as follows:</w:t>
      </w:r>
    </w:p>
    <w:p w:rsidR="003F3435" w:rsidRDefault="0032493E">
      <w:pPr>
        <w:spacing w:line="480" w:lineRule="auto"/>
        <w:ind w:firstLine="1440"/>
        <w:jc w:val="both"/>
      </w:pPr>
      <w:r>
        <w:t xml:space="preserve">(35-a)</w:t>
      </w:r>
      <w:r xml:space="preserve">
        <w:t> </w:t>
      </w:r>
      <w:r xml:space="preserve">
        <w:t>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5th edition, or a later edition adopted by the commissioner.</w:t>
      </w:r>
    </w:p>
    <w:p w:rsidR="003F3435" w:rsidRDefault="0032493E">
      <w:pPr>
        <w:spacing w:line="480" w:lineRule="auto"/>
        <w:ind w:firstLine="1440"/>
        <w:jc w:val="both"/>
      </w:pPr>
      <w:r>
        <w:rPr>
          <w:u w:val="single"/>
        </w:rPr>
        <w:t xml:space="preserve">(35-b)</w:t>
      </w:r>
      <w:r xml:space="preserve">
        <w:t> </w:t>
      </w:r>
      <w:r xml:space="preserve">
        <w:t> </w:t>
      </w:r>
      <w:r>
        <w:t xml:space="preserve">"Prosthetic device" means an artificial device designed to replace, wholly or partly, an arm or leg.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504.019(a)(2), Labor Code, is amended to read as follows:</w:t>
      </w:r>
    </w:p>
    <w:p w:rsidR="003F3435" w:rsidRDefault="0032493E">
      <w:pPr>
        <w:spacing w:line="480" w:lineRule="auto"/>
        <w:ind w:firstLine="1440"/>
        <w:jc w:val="both"/>
      </w:pPr>
      <w:r>
        <w:t xml:space="preserve">(2)</w:t>
      </w:r>
      <w:r xml:space="preserve">
        <w:t> </w:t>
      </w:r>
      <w:r xml:space="preserve">
        <w:t> </w:t>
      </w:r>
      <w:r>
        <w:t xml:space="preserve">"Post-traumatic stress disorder" </w:t>
      </w:r>
      <w:r>
        <w:rPr>
          <w:u w:val="single"/>
        </w:rPr>
        <w:t xml:space="preserve">has the meaning assigned by Section 401.011</w:t>
      </w:r>
      <w:r>
        <w:t xml:space="preserve"> [</w:t>
      </w:r>
      <w:r>
        <w:rPr>
          <w:strike/>
        </w:rPr>
        <w:t xml:space="preserve">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