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w:t>
      </w:r>
      <w:r xml:space="preserve">
        <w:t> </w:t>
      </w:r>
      <w:r xml:space="preserve">
        <w:t> </w:t>
      </w:r>
      <w:r>
        <w:t xml:space="preserve">(a)</w:t>
      </w:r>
      <w:r xml:space="preserve">
        <w:t> </w:t>
      </w:r>
      <w:r>
        <w:rPr>
          <w:u w:val="single"/>
        </w:rPr>
        <w:t xml:space="preserve">Except as provided in Subsection (a-1), a</w:t>
      </w:r>
      <w:r xml:space="preserve">
        <w:t> </w:t>
      </w:r>
      <w:r>
        <w:t xml:space="preserve">[</w:t>
      </w:r>
      <w:r>
        <w:rPr>
          <w:strike/>
        </w:rPr>
        <w:t xml:space="preserve">A</w:t>
      </w:r>
      <w:r>
        <w:t xml:space="preserve">] court may order additional periods of possession of or access to a child to compensate for the denial of court-ordered possession or access.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party shows good cause why the order should not be rendered, a court shall order additional periods of possession of or access to a child to compensate for a denial of court-ordered possession or access that resulted from an investigation by the Department of Family and Protective Services that did not result in a finding of abuse or neglect.</w:t>
      </w:r>
    </w:p>
    <w:p w:rsidR="003F3435" w:rsidRDefault="0032493E">
      <w:pPr>
        <w:spacing w:line="480" w:lineRule="auto"/>
        <w:ind w:firstLine="720"/>
        <w:jc w:val="both"/>
      </w:pPr>
      <w:r>
        <w:rPr>
          <w:u w:val="single"/>
        </w:rPr>
        <w:t xml:space="preserve">(a-2)</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(a-2)(1)</w:t>
      </w:r>
      <w:r>
        <w:t xml:space="preserve"> [</w:t>
      </w:r>
      <w:r>
        <w:rPr>
          <w:strike/>
        </w:rPr>
        <w:t xml:space="preserve">(a)(1)</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(a-1)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cause of action against the Department of Family and Protective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 sovereign immunity to suit or liability.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w:t>
      </w:r>
      <w:r xml:space="preserve">
        <w:t> </w:t>
      </w:r>
      <w:r xml:space="preserve">
        <w:t> </w:t>
      </w:r>
      <w:r>
        <w:t xml:space="preserve">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718 passed the Senate on March</w:t>
      </w:r>
      <w:r xml:space="preserve">
        <w:t> </w:t>
      </w:r>
      <w:r>
        <w:t xml:space="preserve">21,</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27,</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718 passed the House, with amendment, on May</w:t>
      </w:r>
      <w:r xml:space="preserve">
        <w:t> </w:t>
      </w:r>
      <w:r>
        <w:t xml:space="preserve">24,</w:t>
      </w:r>
      <w:r xml:space="preserve">
        <w:t> </w:t>
      </w:r>
      <w:r>
        <w:t xml:space="preserve">2023, by the following vote:  Yeas</w:t>
      </w:r>
      <w:r xml:space="preserve">
        <w:t> </w:t>
      </w:r>
      <w:r>
        <w:t xml:space="preserve">133, Nays</w:t>
      </w:r>
      <w:r xml:space="preserve">
        <w:t> </w:t>
      </w:r>
      <w:r>
        <w:t xml:space="preserve">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