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 </w:t>
      </w:r>
      <w:r>
        <w:rPr>
          <w:u w:val="single"/>
        </w:rPr>
        <w:t xml:space="preserve">or</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 at least 16 years of age and has been: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individual who is at least 16 years of age</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880"/>
        <w:jc w:val="both"/>
      </w:pPr>
      <w:r>
        <w:rPr>
          <w:u w:val="single"/>
        </w:rPr>
        <w:t xml:space="preserve">(iii)</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 or</w:t>
      </w:r>
    </w:p>
    <w:p w:rsidR="003F3435" w:rsidRDefault="0032493E">
      <w:pPr>
        <w:spacing w:line="480" w:lineRule="auto"/>
        <w:ind w:firstLine="2880"/>
        <w:jc w:val="both"/>
      </w:pPr>
      <w:r>
        <w:rPr>
          <w:u w:val="single"/>
        </w:rPr>
        <w:t xml:space="preserve">(v)</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 child who is at least 16 years of age: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of the department, the clerk of the court shall forward a signed court order containing federal prohibited person information to the department for an audit of records provided to the Federal Bureau of Investigation under Section 411.052 for use with the National Instant Criminal Background Check System. </w:t>
      </w:r>
      <w:r>
        <w:rPr>
          <w:u w:val="single"/>
        </w:rPr>
        <w:t xml:space="preserve"> </w:t>
      </w:r>
      <w:r>
        <w:rPr>
          <w:u w:val="single"/>
        </w:rPr>
        <w:t xml:space="preserve">If the department determines that a record forwarded under this subsection is incomplete or invalid: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shall notify the clerk of the court;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clerk of the court shall forward to the department any additional information or record.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under Section 411.052, Government Code, for use with the National Instant Criminal Background Check System;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728 passed the Senate on March</w:t>
      </w:r>
      <w:r xml:space="preserve">
        <w:t> </w:t>
      </w:r>
      <w:r>
        <w:t xml:space="preserve">8,</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728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116, Nays</w:t>
      </w:r>
      <w:r xml:space="preserve">
        <w:t> </w:t>
      </w:r>
      <w:r>
        <w:t xml:space="preserve">28,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