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88R4547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child who has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 with respect to an individual who is at least 16 years of age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w:t>
      </w:r>
      <w:r>
        <w:t xml:space="preserve"> or</w:t>
      </w:r>
    </w:p>
    <w:p w:rsidR="003F3435" w:rsidRDefault="0032493E">
      <w:pPr>
        <w:spacing w:line="480" w:lineRule="auto"/>
        <w:ind w:firstLine="2160"/>
        <w:jc w:val="both"/>
      </w:pPr>
      <w:r>
        <w:rPr>
          <w:u w:val="single"/>
        </w:rPr>
        <w:t xml:space="preserve">(I)</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for use with the National Instant Criminal Background Check System under Section 411.052, Government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