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88R4620 SGM-F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735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memoranda of understanding between the Texas Water Development Board and other state agencies.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6.104, Water Code, is amended to read as follows:</w:t>
      </w:r>
    </w:p>
    <w:p w:rsidR="003F3435" w:rsidRDefault="0032493E">
      <w:pPr>
        <w:spacing w:line="480" w:lineRule="auto"/>
        <w:ind w:firstLine="720"/>
        <w:jc w:val="both"/>
      </w:pPr>
      <w:r>
        <w:t xml:space="preserve">Sec.</w:t>
      </w:r>
      <w:r xml:space="preserve">
        <w:t> </w:t>
      </w:r>
      <w:r>
        <w:t xml:space="preserve">6.104.</w:t>
      </w:r>
      <w:r xml:space="preserve">
        <w:t> </w:t>
      </w:r>
      <w:r xml:space="preserve">
        <w:t> </w:t>
      </w:r>
      <w:r>
        <w:t xml:space="preserve">MEMORANDA OF UNDERSTANDING.  The board may enter into a memorandum of understanding with any other state agency [</w:t>
      </w:r>
      <w:r>
        <w:rPr>
          <w:strike/>
        </w:rPr>
        <w:t xml:space="preserve">and shall adopt by rule any memorandum of understanding between the board and any other state agency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to Section 6.104, Water Code, applies only to a memorandum of understanding that is entered into on or after the effective date of this Act.  A memorandum of understanding that is entered into before that date is governed by the law in effect on the date the memorandum of understanding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