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736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Local Government;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1;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736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mandatory arbitration for certain municipal fire departments and employee bargaining agents.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174.153(a),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174.1535, a</w:t>
      </w:r>
      <w:r>
        <w:t xml:space="preserve"> [</w:t>
      </w:r>
      <w:r>
        <w:rPr>
          <w:strike/>
        </w:rPr>
        <w:t xml:space="preserve">A</w:t>
      </w:r>
      <w:r>
        <w:t xml:space="preserve">] public employer or an association that is a bargaining agent may request the appointment of an arbitration board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parties: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reach an impasse in collective bargaining;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unable to settle after the appropriate lawmaking body fails to approve a contract reached through collective bargaining;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parties made every reasonable effort, including mediation, to settle the dispute through good-faith collective bargaining;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public employer or association gives written notice to the other party, specifying the issue in dispute.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174, Local Government Code, is amended by adding Section 174.1535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174.1535.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MANDATORY ARBITRATION.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 that serves a municipality with a population of 1.9 million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association that is a bargaining agent for the employees of a fire department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employer and an association that is a bargaining agent shall submit to binding interest arbitration if the parties: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reach an impasse in collective bargaining;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unable to settle after the 61st day after the date the appropriate lawmaking body fails to approve a contract reached through collective bargaining.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party shall send to the other party a written notice specifying each issue in dispute for purposes of binding  arbitration not later than the fifth day after: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 impasse was reached under Section 174.152;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an extension period under Section 174.152;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the period described by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under Subsection (c) is considered sent on the date the notice is placed in the mail, personally delivered, or transmitted by e-mail or any other means of electronic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736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