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88R5656 DIO-F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772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lighting equipment requirements for motor vehicles.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547.323, Transportation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For purposes of Section 547.3215, a high-mounted stoplamp is considered to comply with the current federal standards in 49 C.F.R. Section 571.108 if the stoplamp varies in intensity four or fewer times but never deactivates when the vehicle brakes for not more than two seconds.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