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88R1111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783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or county to regulate the use of an appliance, system, or component that is fueled by natural gas or propane.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CERTAIN REGULATIONS OF NATURAL GAS OR PROPANE APPLIANCES PROHIBITED.  (a)  A municipality or county may not adopt or enforce an ordinance, order, or other regulation that prohibits or restricts, directly or indirectly, the use of an appliance, system, or component that is fueled by natural gas or propane in the construction, renovation, maintenance, or alteration of a residential or commercial building.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 municipality or county from using an appliance, system, or component powered by any energy source on property owned by the municipality or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