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784</w:t>
      </w:r>
    </w:p>
    <w:p w:rsidR="003F3435" w:rsidRDefault="0032493E">
      <w:pPr>
        <w:ind w:firstLine="720"/>
        <w:jc w:val="both"/>
      </w:pPr>
      <w:r>
        <w:t xml:space="preserve">(Landgraf)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exclusive jurisdiction of the state to regulate greenhouse gas emissions in this state and the express preemption of local regulation of those emissions.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382, Health and Safety Code, is amended by adding Section 382.005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382.005.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EXCLUSIVE JURISDICTION TO REGULATE GREENHOUSE GAS EMISSIONS AND EXPRESS PREEMPTION OF LOCAL REGULATIONS.  (a)  In this section, "greenhouse gas emissions" has the meaning assigned by Section 382.05102.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not preempted by federal law, the state has exclusive jurisdiction over the regulation of greenhouse gas emissions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or other political subdivision may not enact or enforce an ordinance or other measure that directly regulates greenhouse gas emissions.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