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Blanco, Flores</w:t>
      </w:r>
      <w:r xml:space="preserve">
        <w:tab wTab="150" tlc="none" cTlc="0"/>
      </w:r>
      <w:r>
        <w:t xml:space="preserve">S.B.</w:t>
      </w:r>
      <w:r xml:space="preserve">
        <w:t> </w:t>
      </w:r>
      <w:r>
        <w:t xml:space="preserve">No.</w:t>
      </w:r>
      <w:r xml:space="preserve">
        <w:t> </w:t>
      </w:r>
      <w:r>
        <w:t xml:space="preserve">785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ownership of the geothermal energy and associated resources below the surface of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mineral, as defined by Section 75.001, Property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gas, or a product of oil or gas, as defined by Section 85.001.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141, Natural Resources Code, is amended by adding Section 141.004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141.004.</w:t>
      </w:r>
      <w:r>
        <w:rPr>
          <w:u w:val="single"/>
        </w:rPr>
        <w:t xml:space="preserve"> </w:t>
      </w:r>
      <w:r>
        <w:rPr>
          <w:u w:val="single"/>
        </w:rPr>
        <w:t xml:space="preserve"> </w:t>
      </w:r>
      <w:r>
        <w:rPr>
          <w:u w:val="single"/>
        </w:rPr>
        <w:t xml:space="preserve">OWNERSHIP OF GEOTHERMAL ENERGY AND ASSOCIATED RESOURCES.  (a)  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surface estate and the mineral estate of the land have been severed, the owner of the surface estate of the land.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minerals dissolved or otherwise contained in groundwater, including in hot brines;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existing law regarding oil, gas, or mineral extraction regardless of its heat or energy potential;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change existing law regarding the rights of the dominant and servient estates.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