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790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systems of county road administration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252.301(d),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252.3011, a</w:t>
      </w:r>
      <w:r>
        <w:t xml:space="preserve"> [</w:t>
      </w:r>
      <w:r>
        <w:rPr>
          <w:strike/>
        </w:rPr>
        <w:t xml:space="preserve">A</w:t>
      </w:r>
      <w:r>
        <w:t xml:space="preserve">] county that votes to adopt this subchapter may vote in the same manner to discontinue use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252, Transportation Code, is amended by adding Section 252.3011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252.3011.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DISCONTINUATION OF COUNTY ROAD DEPARTMENT SYSTEM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less than 75,000 that is adjacent to three counties with populations of more than 450,000.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voted to adopt this subchapter may discontinue the use of this subchapter by an order made at a regular term of the court.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shall enter the order in its minutes. </w:t>
      </w:r>
      <w:r>
        <w:rPr>
          <w:u w:val="single"/>
        </w:rPr>
        <w:t xml:space="preserve"> </w:t>
      </w:r>
      <w:r>
        <w:rPr>
          <w:u w:val="single"/>
        </w:rPr>
        <w:t xml:space="preserve">The order is not required to be in any particular form, and substantial compliance with this section is sufficient.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commissioners court discontinues the use of this subchapter, Subchapter B applies to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