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88R3655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794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2.202(a)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current, former, or retired federal judge or state judge</w:t>
      </w:r>
      <w:r>
        <w:t xml:space="preserve"> [</w:t>
      </w:r>
      <w:r>
        <w:rPr>
          <w:strike/>
        </w:rPr>
        <w:t xml:space="preserve">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retired judge or magistrate of a federal court of this state</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Subsection (a)(4), </w:t>
      </w:r>
      <w:r>
        <w:rPr>
          <w:u w:val="single"/>
        </w:rPr>
        <w:t xml:space="preserve">"federal judge"</w:t>
      </w:r>
      <w:r>
        <w:rPr>
          <w:u w:val="single"/>
        </w:rPr>
        <w:t xml:space="preserve"> </w:t>
      </w:r>
      <w:r>
        <w:rPr>
          <w:u w:val="single"/>
        </w:rPr>
        <w:t xml:space="preserve">and "state judge"</w:t>
      </w:r>
      <w:r>
        <w:rPr>
          <w:u w:val="single"/>
        </w:rPr>
        <w:t xml:space="preserve"> </w:t>
      </w:r>
      <w:r>
        <w:rPr>
          <w:u w:val="single"/>
        </w:rPr>
        <w:t xml:space="preserve">have the meanings assigned by Section 25.025, Tax Code</w:t>
      </w:r>
      <w:r>
        <w:t xml:space="preserve"> [</w:t>
      </w:r>
      <w:r>
        <w:rPr>
          <w:strike/>
        </w:rPr>
        <w:t xml:space="preserve">a retired judge or justice is a former judge or justice who is vested in the Judicial Retirement System of Texas Plan One or the Judicial Retirement System of Texas Plan Two or who has an aggregate of at least 12 years of service as judge or justice of any type listed in Subsection (a)(4)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