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88R7102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798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certification requirements for a public school counselor.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21.0462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21.0462.</w:t>
      </w:r>
      <w:r>
        <w:rPr>
          <w:u w:val="single"/>
        </w:rPr>
        <w:t xml:space="preserve"> </w:t>
      </w:r>
      <w:r>
        <w:rPr>
          <w:u w:val="single"/>
        </w:rPr>
        <w:t xml:space="preserve"> </w:t>
      </w:r>
      <w:r>
        <w:rPr>
          <w:u w:val="single"/>
        </w:rPr>
        <w:t xml:space="preserve">QUALIFICATIONS FOR CERTIFICATION AS SCHOOL COUNSELOR.  The qualifications for certification as a school counselor may not include a requirement that a candidate for certification have experience as a classroom teacher.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possible after the effective date of this Act but not later than January 1, 2024, the State Board for Educator Certification shall propose any rules necessary to implement Section 21.0462,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