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88R3754 AMF-D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Miles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800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ability of a local authority to designate school crossing zones and school crosswalks at high school campuses located in certain municipalities.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542.203, Transportation Code, is amended by adding Subsection (d)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local authority may not adopt or enforce an order, ordinance, regulation, or other measure that prohibits or precludes the designation of a school crossing zone or school crosswalk at a high school campus that is located in a municipality with a population of two million or more.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800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